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hint="eastAsia" w:ascii="仿宋" w:hAnsi="仿宋" w:eastAsia="仿宋" w:cs="仿宋"/>
          <w:color w:val="auto"/>
          <w:highlight w:val="none"/>
        </w:rPr>
      </w:pPr>
    </w:p>
    <w:p>
      <w:pPr>
        <w:ind w:firstLine="480"/>
        <w:jc w:val="right"/>
        <w:rPr>
          <w:rFonts w:hint="eastAsia" w:ascii="仿宋" w:hAnsi="仿宋" w:eastAsia="仿宋" w:cs="仿宋"/>
          <w:color w:val="auto"/>
          <w:highlight w:val="none"/>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3"/>
                    <a:stretch>
                      <a:fillRect/>
                    </a:stretch>
                  </pic:blipFill>
                  <pic:spPr>
                    <a:xfrm>
                      <a:off x="0" y="0"/>
                      <a:ext cx="1483360" cy="878205"/>
                    </a:xfrm>
                    <a:prstGeom prst="rect">
                      <a:avLst/>
                    </a:prstGeom>
                    <a:noFill/>
                    <a:ln>
                      <a:noFill/>
                    </a:ln>
                  </pic:spPr>
                </pic:pic>
              </a:graphicData>
            </a:graphic>
          </wp:inline>
        </w:drawing>
      </w:r>
    </w:p>
    <w:p>
      <w:pPr>
        <w:ind w:firstLine="480"/>
        <w:rPr>
          <w:rFonts w:hint="eastAsia" w:ascii="仿宋" w:hAnsi="仿宋" w:eastAsia="仿宋" w:cs="仿宋"/>
          <w:color w:val="auto"/>
          <w:highlight w:val="none"/>
        </w:rPr>
      </w:pPr>
    </w:p>
    <w:p>
      <w:pPr>
        <w:ind w:firstLine="243" w:firstLineChars="55"/>
        <w:jc w:val="center"/>
        <w:rPr>
          <w:rFonts w:hint="eastAsia" w:ascii="仿宋" w:hAnsi="仿宋" w:eastAsia="仿宋" w:cs="仿宋"/>
          <w:b/>
          <w:color w:val="auto"/>
          <w:sz w:val="44"/>
          <w:szCs w:val="44"/>
          <w:highlight w:val="none"/>
        </w:rPr>
      </w:pPr>
      <w:r>
        <w:rPr>
          <w:rFonts w:hint="eastAsia" w:ascii="仿宋" w:hAnsi="仿宋" w:cs="仿宋"/>
          <w:b/>
          <w:bCs/>
          <w:color w:val="auto"/>
          <w:sz w:val="44"/>
          <w:szCs w:val="44"/>
          <w:highlight w:val="none"/>
          <w:lang w:eastAsia="zh-CN"/>
        </w:rPr>
        <w:t>山东第一医科大学（山东省医学科学院）科教融合2023年生物医学泰山班培养试剂耗材购（199）</w:t>
      </w:r>
      <w:r>
        <w:rPr>
          <w:rFonts w:hint="eastAsia" w:ascii="仿宋" w:hAnsi="仿宋" w:eastAsia="仿宋" w:cs="仿宋"/>
          <w:b/>
          <w:color w:val="auto"/>
          <w:sz w:val="44"/>
          <w:szCs w:val="44"/>
          <w:highlight w:val="none"/>
        </w:rPr>
        <w:t>公开招标文件</w:t>
      </w:r>
    </w:p>
    <w:p>
      <w:pPr>
        <w:ind w:left="0" w:leftChars="0" w:firstLine="0" w:firstLineChars="0"/>
        <w:rPr>
          <w:rFonts w:hint="eastAsia" w:ascii="仿宋" w:hAnsi="仿宋" w:eastAsia="仿宋" w:cs="仿宋"/>
          <w:color w:val="auto"/>
          <w:highlight w:val="none"/>
        </w:rPr>
      </w:pPr>
    </w:p>
    <w:p>
      <w:pPr>
        <w:ind w:left="1048" w:leftChars="-100" w:hanging="1288" w:hangingChars="401"/>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项目编号：SDGP370000000202302005730</w:t>
      </w:r>
    </w:p>
    <w:p>
      <w:pPr>
        <w:ind w:left="1048" w:leftChars="-100" w:hanging="1288" w:hangingChars="401"/>
        <w:jc w:val="center"/>
        <w:rPr>
          <w:rFonts w:hint="default" w:ascii="仿宋" w:hAnsi="仿宋" w:eastAsia="仿宋" w:cs="仿宋"/>
          <w:b/>
          <w:color w:val="auto"/>
          <w:sz w:val="36"/>
          <w:szCs w:val="36"/>
          <w:highlight w:val="none"/>
          <w:u w:val="single"/>
          <w:lang w:val="en-US" w:eastAsia="zh-CN"/>
        </w:rPr>
      </w:pPr>
      <w:r>
        <w:rPr>
          <w:rFonts w:hint="eastAsia" w:ascii="仿宋" w:hAnsi="仿宋" w:eastAsia="仿宋" w:cs="仿宋"/>
          <w:b/>
          <w:color w:val="auto"/>
          <w:sz w:val="32"/>
          <w:szCs w:val="32"/>
          <w:highlight w:val="none"/>
        </w:rPr>
        <w:t>/sdhryw20231</w:t>
      </w:r>
      <w:r>
        <w:rPr>
          <w:rFonts w:hint="eastAsia" w:ascii="仿宋" w:hAnsi="仿宋" w:cs="仿宋"/>
          <w:b/>
          <w:color w:val="auto"/>
          <w:sz w:val="32"/>
          <w:szCs w:val="32"/>
          <w:highlight w:val="none"/>
          <w:lang w:val="en-US" w:eastAsia="zh-CN"/>
        </w:rPr>
        <w:t>99</w:t>
      </w:r>
    </w:p>
    <w:p>
      <w:pPr>
        <w:pStyle w:val="3"/>
        <w:ind w:left="0" w:leftChars="0" w:right="-42" w:firstLine="482"/>
        <w:rPr>
          <w:rFonts w:hint="eastAsia" w:ascii="仿宋" w:hAnsi="仿宋" w:eastAsia="仿宋" w:cs="仿宋"/>
          <w:b/>
          <w:bCs/>
          <w:color w:val="auto"/>
          <w:sz w:val="24"/>
          <w:szCs w:val="24"/>
          <w:highlight w:val="none"/>
        </w:rPr>
      </w:pPr>
    </w:p>
    <w:p>
      <w:pPr>
        <w:ind w:firstLine="723"/>
        <w:jc w:val="center"/>
        <w:rPr>
          <w:rFonts w:hint="eastAsia" w:ascii="仿宋" w:hAnsi="仿宋" w:eastAsia="仿宋" w:cs="仿宋"/>
          <w:b/>
          <w:bCs/>
          <w:color w:val="auto"/>
          <w:szCs w:val="24"/>
          <w:highlight w:val="none"/>
        </w:rPr>
      </w:pPr>
      <w:r>
        <w:rPr>
          <w:rFonts w:hint="eastAsia" w:ascii="仿宋" w:hAnsi="仿宋" w:eastAsia="仿宋" w:cs="仿宋"/>
          <w:b/>
          <w:bCs/>
          <w:color w:val="auto"/>
          <w:sz w:val="36"/>
          <w:szCs w:val="36"/>
          <w:highlight w:val="none"/>
        </w:rPr>
        <w:t>（第二册 项目专用部分）</w:t>
      </w:r>
    </w:p>
    <w:p>
      <w:pPr>
        <w:ind w:firstLine="482"/>
        <w:jc w:val="center"/>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left="0" w:leftChars="0" w:firstLine="0" w:firstLineChars="0"/>
        <w:jc w:val="both"/>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firstLine="0" w:firstLineChars="0"/>
        <w:rPr>
          <w:rFonts w:hint="eastAsia" w:ascii="仿宋" w:hAnsi="仿宋" w:eastAsia="仿宋" w:cs="仿宋"/>
          <w:b/>
          <w:color w:val="auto"/>
          <w:sz w:val="36"/>
          <w:szCs w:val="36"/>
          <w:highlight w:val="none"/>
        </w:rPr>
      </w:pPr>
      <w:r>
        <w:rPr>
          <w:rFonts w:hint="eastAsia" w:ascii="仿宋" w:hAnsi="仿宋" w:eastAsia="仿宋" w:cs="仿宋"/>
          <w:b/>
          <w:bCs/>
          <w:color w:val="auto"/>
          <w:szCs w:val="24"/>
          <w:highlight w:val="none"/>
        </w:rPr>
        <w:t xml:space="preserve">  </w:t>
      </w:r>
    </w:p>
    <w:p>
      <w:pPr>
        <w:ind w:left="1440" w:leftChars="600" w:firstLine="0" w:firstLineChars="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   购   人：</w:t>
      </w:r>
      <w:r>
        <w:rPr>
          <w:rFonts w:hint="eastAsia" w:ascii="仿宋" w:hAnsi="仿宋" w:cs="仿宋"/>
          <w:b/>
          <w:bCs/>
          <w:color w:val="auto"/>
          <w:sz w:val="36"/>
          <w:szCs w:val="36"/>
          <w:highlight w:val="none"/>
          <w:u w:val="single"/>
          <w:lang w:eastAsia="zh-CN"/>
        </w:rPr>
        <w:t>山东第一医科大学（山东省医学科学院）</w:t>
      </w:r>
    </w:p>
    <w:p>
      <w:pPr>
        <w:ind w:firstLine="1446" w:firstLineChars="4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采购代理机构：</w:t>
      </w:r>
      <w:r>
        <w:rPr>
          <w:rFonts w:hint="eastAsia" w:ascii="仿宋" w:hAnsi="仿宋" w:eastAsia="仿宋" w:cs="仿宋"/>
          <w:b/>
          <w:color w:val="auto"/>
          <w:sz w:val="36"/>
          <w:szCs w:val="36"/>
          <w:highlight w:val="none"/>
          <w:u w:val="single"/>
          <w:lang w:eastAsia="zh-CN"/>
        </w:rPr>
        <w:t>山东华仁永旺招标有限公司</w:t>
      </w:r>
    </w:p>
    <w:p>
      <w:pPr>
        <w:ind w:firstLine="1446" w:firstLineChars="400"/>
        <w:rPr>
          <w:rFonts w:hint="eastAsia" w:ascii="仿宋" w:hAnsi="仿宋" w:eastAsia="仿宋" w:cs="仿宋"/>
          <w:b/>
          <w:color w:val="auto"/>
          <w:sz w:val="36"/>
          <w:szCs w:val="36"/>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auto"/>
          <w:sz w:val="36"/>
          <w:szCs w:val="36"/>
          <w:highlight w:val="none"/>
        </w:rPr>
        <w:t>日        期：</w:t>
      </w:r>
      <w:r>
        <w:rPr>
          <w:rFonts w:hint="eastAsia" w:ascii="仿宋" w:hAnsi="仿宋" w:eastAsia="仿宋" w:cs="仿宋"/>
          <w:b/>
          <w:color w:val="auto"/>
          <w:sz w:val="36"/>
          <w:szCs w:val="36"/>
          <w:highlight w:val="none"/>
          <w:u w:val="single"/>
        </w:rPr>
        <w:t>二〇二</w:t>
      </w:r>
      <w:r>
        <w:rPr>
          <w:rFonts w:hint="eastAsia" w:ascii="仿宋" w:hAnsi="仿宋" w:cs="仿宋"/>
          <w:b/>
          <w:color w:val="auto"/>
          <w:sz w:val="36"/>
          <w:szCs w:val="36"/>
          <w:highlight w:val="none"/>
          <w:u w:val="single"/>
          <w:lang w:eastAsia="zh-CN"/>
        </w:rPr>
        <w:t>三</w:t>
      </w:r>
      <w:r>
        <w:rPr>
          <w:rFonts w:hint="eastAsia" w:ascii="仿宋" w:hAnsi="仿宋" w:eastAsia="仿宋" w:cs="仿宋"/>
          <w:b/>
          <w:color w:val="auto"/>
          <w:sz w:val="36"/>
          <w:szCs w:val="36"/>
          <w:highlight w:val="none"/>
          <w:u w:val="single"/>
        </w:rPr>
        <w:t>年</w:t>
      </w:r>
      <w:r>
        <w:rPr>
          <w:rFonts w:hint="eastAsia" w:ascii="仿宋" w:hAnsi="仿宋" w:cs="仿宋"/>
          <w:b/>
          <w:color w:val="auto"/>
          <w:sz w:val="36"/>
          <w:szCs w:val="36"/>
          <w:highlight w:val="none"/>
          <w:u w:val="single"/>
          <w:lang w:val="en-US" w:eastAsia="zh-CN"/>
        </w:rPr>
        <w:t>七</w:t>
      </w:r>
      <w:r>
        <w:rPr>
          <w:rFonts w:hint="eastAsia" w:ascii="仿宋" w:hAnsi="仿宋" w:eastAsia="仿宋" w:cs="仿宋"/>
          <w:b/>
          <w:color w:val="auto"/>
          <w:sz w:val="36"/>
          <w:szCs w:val="36"/>
          <w:highlight w:val="none"/>
          <w:u w:val="single"/>
        </w:rPr>
        <w:t>月</w:t>
      </w:r>
    </w:p>
    <w:p>
      <w:pPr>
        <w:pStyle w:val="33"/>
        <w:ind w:firstLine="0" w:firstLineChars="0"/>
        <w:jc w:val="center"/>
        <w:rPr>
          <w:rFonts w:hint="eastAsia" w:ascii="仿宋" w:hAnsi="仿宋" w:eastAsia="仿宋" w:cs="仿宋"/>
          <w:b/>
          <w:color w:val="auto"/>
          <w:sz w:val="32"/>
          <w:szCs w:val="28"/>
          <w:highlight w:val="none"/>
        </w:rPr>
      </w:pPr>
      <w:r>
        <w:rPr>
          <w:rFonts w:hint="eastAsia" w:ascii="仿宋" w:hAnsi="仿宋" w:eastAsia="仿宋" w:cs="仿宋"/>
          <w:b/>
          <w:color w:val="auto"/>
          <w:sz w:val="32"/>
          <w:szCs w:val="28"/>
          <w:highlight w:val="none"/>
        </w:rPr>
        <w:t>目  录</w:t>
      </w:r>
    </w:p>
    <w:p>
      <w:pPr>
        <w:pStyle w:val="33"/>
        <w:spacing w:line="360" w:lineRule="auto"/>
        <w:ind w:firstLine="0" w:firstLineChars="0"/>
        <w:rPr>
          <w:rFonts w:hint="eastAsia" w:ascii="仿宋" w:hAnsi="仿宋" w:eastAsia="仿宋" w:cs="仿宋"/>
          <w:b/>
          <w:color w:val="auto"/>
          <w:sz w:val="28"/>
          <w:szCs w:val="28"/>
          <w:highlight w:val="none"/>
        </w:rPr>
      </w:pPr>
      <w:bookmarkStart w:id="0" w:name="_Toc106784518"/>
      <w:r>
        <w:rPr>
          <w:rFonts w:hint="eastAsia" w:ascii="仿宋" w:hAnsi="仿宋" w:eastAsia="仿宋" w:cs="仿宋"/>
          <w:b/>
          <w:color w:val="auto"/>
          <w:sz w:val="28"/>
          <w:szCs w:val="28"/>
          <w:highlight w:val="none"/>
        </w:rPr>
        <w:t>第一册  通用部分</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第一部分   投标人须知</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第二部分   政府采购合同格式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第三部分   投标文件格式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第四部分   附件</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spacing w:line="360" w:lineRule="auto"/>
        <w:ind w:firstLine="0" w:firstLineChars="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第二册  项目专用部分（本册）</w:t>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TOC \o "1-2" \h \z \u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"_Toc106784591"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第五部分 投标邀请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"_Toc106784592"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第六部分投标人须知附表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"_Toc106784593"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第七部分评标方法和评分细则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"_Toc106784594"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一、评标方法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"_Toc106784595"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"_Toc106784596"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三、初步审查属于无效投标的条款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"_Toc106784597"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第八部分技术要求及说明</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pStyle w:val="33"/>
        <w:ind w:firstLine="0" w:firstLineChars="0"/>
        <w:jc w:val="center"/>
        <w:outlineLvl w:val="0"/>
        <w:rPr>
          <w:rFonts w:hint="eastAsia" w:ascii="仿宋" w:hAnsi="仿宋" w:eastAsia="仿宋" w:cs="仿宋"/>
          <w:b/>
          <w:color w:val="auto"/>
          <w:sz w:val="32"/>
          <w:szCs w:val="32"/>
          <w:highlight w:val="none"/>
        </w:rPr>
      </w:pPr>
      <w:bookmarkStart w:id="1" w:name="_Toc106784591"/>
      <w:r>
        <w:rPr>
          <w:rFonts w:hint="eastAsia" w:ascii="仿宋" w:hAnsi="仿宋" w:eastAsia="仿宋" w:cs="仿宋"/>
          <w:b/>
          <w:color w:val="auto"/>
          <w:sz w:val="32"/>
          <w:szCs w:val="32"/>
          <w:highlight w:val="none"/>
        </w:rPr>
        <w:t>第五部分 投标邀请</w:t>
      </w:r>
      <w:bookmarkEnd w:id="0"/>
      <w:bookmarkEnd w:id="1"/>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（以下简称采购代理机构）受</w:t>
      </w:r>
      <w:r>
        <w:rPr>
          <w:rFonts w:hint="eastAsia" w:ascii="仿宋" w:hAnsi="仿宋" w:cs="仿宋"/>
          <w:color w:val="auto"/>
          <w:highlight w:val="none"/>
          <w:lang w:eastAsia="zh-CN"/>
        </w:rPr>
        <w:t>山东第一医科大学</w:t>
      </w:r>
      <w:r>
        <w:rPr>
          <w:rFonts w:hint="eastAsia" w:ascii="仿宋" w:hAnsi="仿宋" w:eastAsia="仿宋" w:cs="仿宋"/>
          <w:color w:val="auto"/>
          <w:highlight w:val="none"/>
        </w:rPr>
        <w:t>的委托，对“</w:t>
      </w:r>
      <w:r>
        <w:rPr>
          <w:rFonts w:hint="eastAsia" w:ascii="仿宋" w:hAnsi="仿宋" w:cs="仿宋"/>
          <w:bCs/>
          <w:color w:val="auto"/>
          <w:highlight w:val="none"/>
          <w:lang w:eastAsia="zh-CN"/>
        </w:rPr>
        <w:t>山东第一医科大学（山东省医学科学院）科教融合2023年生物医学泰山班培养试剂耗材购（199）</w:t>
      </w:r>
      <w:r>
        <w:rPr>
          <w:rFonts w:hint="eastAsia" w:ascii="仿宋" w:hAnsi="仿宋" w:eastAsia="仿宋" w:cs="仿宋"/>
          <w:color w:val="auto"/>
          <w:highlight w:val="none"/>
        </w:rPr>
        <w:t>”货物及其他相关服务进行国内公开招标，欢迎符合条件的合格投标人参与投标。</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一、项目名称及编号</w:t>
      </w:r>
    </w:p>
    <w:p>
      <w:pPr>
        <w:pStyle w:val="33"/>
        <w:spacing w:line="360" w:lineRule="auto"/>
        <w:ind w:firstLine="480"/>
        <w:rPr>
          <w:rFonts w:hint="eastAsia" w:ascii="仿宋" w:hAnsi="仿宋" w:cs="仿宋"/>
          <w:bCs/>
          <w:color w:val="auto"/>
          <w:highlight w:val="none"/>
          <w:lang w:eastAsia="zh-CN"/>
        </w:rPr>
      </w:pPr>
      <w:r>
        <w:rPr>
          <w:rFonts w:hint="eastAsia" w:ascii="仿宋" w:hAnsi="仿宋" w:eastAsia="仿宋" w:cs="仿宋"/>
          <w:color w:val="auto"/>
          <w:highlight w:val="none"/>
        </w:rPr>
        <w:t>项目名称：</w:t>
      </w:r>
      <w:r>
        <w:rPr>
          <w:rFonts w:hint="eastAsia" w:ascii="仿宋" w:hAnsi="仿宋" w:cs="仿宋"/>
          <w:bCs/>
          <w:color w:val="auto"/>
          <w:highlight w:val="none"/>
          <w:lang w:eastAsia="zh-CN"/>
        </w:rPr>
        <w:t>山东第一医科大学（山东省医学科学院）科教融合2023年生物医学泰山班培养试剂耗材购（199）</w:t>
      </w:r>
    </w:p>
    <w:p>
      <w:pPr>
        <w:pStyle w:val="33"/>
        <w:spacing w:line="360" w:lineRule="auto"/>
        <w:ind w:firstLine="480"/>
        <w:rPr>
          <w:rFonts w:hint="default" w:ascii="仿宋" w:hAnsi="仿宋" w:eastAsia="仿宋" w:cs="仿宋"/>
          <w:color w:val="auto"/>
          <w:highlight w:val="none"/>
          <w:lang w:val="en-US" w:eastAsia="zh-CN"/>
        </w:rPr>
      </w:pPr>
      <w:r>
        <w:rPr>
          <w:rFonts w:hint="eastAsia" w:ascii="仿宋" w:hAnsi="仿宋" w:eastAsia="仿宋" w:cs="仿宋"/>
          <w:color w:val="auto"/>
          <w:highlight w:val="none"/>
        </w:rPr>
        <w:t>项目编号：</w:t>
      </w:r>
      <w:r>
        <w:rPr>
          <w:rFonts w:hint="eastAsia" w:ascii="仿宋" w:hAnsi="仿宋" w:cs="仿宋"/>
          <w:color w:val="auto"/>
          <w:highlight w:val="none"/>
          <w:lang w:val="en-US" w:eastAsia="zh-CN"/>
        </w:rPr>
        <w:t xml:space="preserve"> SDGP370000000202302005730/sdhryw2023199                                                                                                                                                                                                                                                                                                                                                                                                                                                                                                                                                                                                                                                                                                                                                                                                                                                                                                                                                                                                                                                                                                                                                                                                                                                                                                                                                                                                                                                                                                                                                                                                                                                                                                                                                                                                                                                                                                                                                                                                                                                                                                                                                                                                                                                                                                                                                                                                                                                                                                                                                                                                                                                                                                                                                                                                                                                                                                                                                                                                                                                                                                                                                                                                                                                                                                                                                                                                                                                                                                                                                                                                                                  </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二、采购内容及分包</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1、采购内容：</w:t>
      </w:r>
      <w:r>
        <w:rPr>
          <w:rFonts w:hint="eastAsia" w:ascii="仿宋" w:hAnsi="仿宋" w:cs="仿宋"/>
          <w:bCs/>
          <w:color w:val="auto"/>
          <w:highlight w:val="none"/>
          <w:lang w:eastAsia="zh-CN"/>
        </w:rPr>
        <w:t>山东第一医科大学（山东省医学科学院）科教融合2023年生物医学泰山班培养试剂耗材购（199）</w:t>
      </w:r>
      <w:r>
        <w:rPr>
          <w:rFonts w:hint="eastAsia" w:ascii="仿宋" w:hAnsi="仿宋" w:eastAsia="仿宋" w:cs="仿宋"/>
          <w:color w:val="auto"/>
          <w:highlight w:val="none"/>
        </w:rPr>
        <w:t>，包括拟采购设备的供货、运输、安装调试及售后服务等。</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2、分包情况：共分</w:t>
      </w:r>
      <w:r>
        <w:rPr>
          <w:rFonts w:hint="eastAsia" w:ascii="仿宋" w:hAnsi="仿宋" w:cs="仿宋"/>
          <w:color w:val="auto"/>
          <w:highlight w:val="none"/>
          <w:lang w:val="en-US" w:eastAsia="zh-CN"/>
        </w:rPr>
        <w:t>2</w:t>
      </w:r>
      <w:r>
        <w:rPr>
          <w:rFonts w:hint="eastAsia" w:ascii="仿宋" w:hAnsi="仿宋" w:eastAsia="仿宋" w:cs="仿宋"/>
          <w:color w:val="auto"/>
          <w:highlight w:val="none"/>
        </w:rPr>
        <w:t>个包</w:t>
      </w:r>
      <w:r>
        <w:rPr>
          <w:rFonts w:hint="eastAsia" w:ascii="仿宋" w:hAnsi="仿宋" w:eastAsia="仿宋" w:cs="仿宋"/>
          <w:bCs/>
          <w:color w:val="auto"/>
          <w:szCs w:val="24"/>
          <w:highlight w:val="none"/>
        </w:rPr>
        <w:t>，分包内不允许拆包后投标</w:t>
      </w:r>
      <w:r>
        <w:rPr>
          <w:rFonts w:hint="eastAsia" w:ascii="仿宋" w:hAnsi="仿宋" w:eastAsia="仿宋" w:cs="仿宋"/>
          <w:color w:val="auto"/>
          <w:highlight w:val="none"/>
        </w:rPr>
        <w:t>。具体分包及技术、服务要求详见“第八部分技术要求及说明”。</w:t>
      </w:r>
    </w:p>
    <w:tbl>
      <w:tblPr>
        <w:tblStyle w:val="23"/>
        <w:tblpPr w:leftFromText="180" w:rightFromText="180" w:vertAnchor="text" w:horzAnchor="page" w:tblpXSpec="center" w:tblpY="254"/>
        <w:tblOverlap w:val="never"/>
        <w:tblW w:w="55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6"/>
        <w:gridCol w:w="1594"/>
        <w:gridCol w:w="1465"/>
        <w:gridCol w:w="1596"/>
        <w:gridCol w:w="5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390" w:type="pct"/>
            <w:noWrap w:val="0"/>
            <w:vAlign w:val="center"/>
          </w:tcPr>
          <w:p>
            <w:pPr>
              <w:spacing w:line="360" w:lineRule="auto"/>
              <w:ind w:left="0" w:leftChars="0" w:right="240" w:firstLine="0" w:firstLineChars="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包号</w:t>
            </w:r>
          </w:p>
        </w:tc>
        <w:tc>
          <w:tcPr>
            <w:tcW w:w="743"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货物名称</w:t>
            </w:r>
          </w:p>
        </w:tc>
        <w:tc>
          <w:tcPr>
            <w:tcW w:w="683"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r>
              <w:rPr>
                <w:rFonts w:hint="eastAsia" w:ascii="仿宋" w:hAnsi="仿宋" w:eastAsia="仿宋" w:cs="仿宋"/>
                <w:color w:val="auto"/>
                <w:sz w:val="24"/>
                <w:szCs w:val="24"/>
                <w:highlight w:val="none"/>
                <w:lang w:eastAsia="zh-CN"/>
              </w:rPr>
              <w:t>宗</w:t>
            </w:r>
            <w:r>
              <w:rPr>
                <w:rFonts w:hint="eastAsia" w:ascii="仿宋" w:hAnsi="仿宋" w:eastAsia="仿宋" w:cs="仿宋"/>
                <w:color w:val="auto"/>
                <w:sz w:val="24"/>
                <w:szCs w:val="24"/>
                <w:highlight w:val="none"/>
              </w:rPr>
              <w:t>）</w:t>
            </w:r>
          </w:p>
        </w:tc>
        <w:tc>
          <w:tcPr>
            <w:tcW w:w="744"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预算（万元）</w:t>
            </w:r>
          </w:p>
        </w:tc>
        <w:tc>
          <w:tcPr>
            <w:tcW w:w="2438" w:type="pct"/>
            <w:noWrap w:val="0"/>
            <w:vAlign w:val="center"/>
          </w:tcPr>
          <w:p>
            <w:pPr>
              <w:spacing w:line="360" w:lineRule="auto"/>
              <w:ind w:firstLine="720" w:firstLineChars="3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33" w:hRule="atLeast"/>
          <w:jc w:val="center"/>
        </w:trPr>
        <w:tc>
          <w:tcPr>
            <w:tcW w:w="390" w:type="pct"/>
            <w:noWrap w:val="0"/>
            <w:vAlign w:val="center"/>
          </w:tcPr>
          <w:p>
            <w:pPr>
              <w:ind w:left="0" w:leftChars="0" w:firstLine="0" w:firstLineChars="0"/>
              <w:jc w:val="center"/>
              <w:rPr>
                <w:rFonts w:hint="default" w:ascii="仿宋" w:hAnsi="仿宋" w:cs="仿宋"/>
                <w:color w:val="auto"/>
                <w:sz w:val="24"/>
                <w:szCs w:val="24"/>
                <w:highlight w:val="none"/>
                <w:lang w:val="en-US" w:eastAsia="zh-CN"/>
              </w:rPr>
            </w:pPr>
            <w:r>
              <w:rPr>
                <w:rFonts w:hint="eastAsia" w:ascii="仿宋" w:hAnsi="仿宋" w:cs="仿宋"/>
                <w:color w:val="auto"/>
                <w:sz w:val="24"/>
                <w:szCs w:val="24"/>
                <w:highlight w:val="none"/>
                <w:lang w:val="en-US" w:eastAsia="zh-CN"/>
              </w:rPr>
              <w:t>A</w:t>
            </w:r>
          </w:p>
        </w:tc>
        <w:tc>
          <w:tcPr>
            <w:tcW w:w="743" w:type="pct"/>
            <w:noWrap w:val="0"/>
            <w:vAlign w:val="center"/>
          </w:tcPr>
          <w:p>
            <w:pPr>
              <w:ind w:left="0" w:leftChars="0" w:firstLine="0" w:firstLineChars="0"/>
              <w:jc w:val="center"/>
              <w:rPr>
                <w:rFonts w:hint="eastAsia" w:ascii="仿宋" w:hAnsi="仿宋" w:eastAsia="仿宋" w:cs="仿宋"/>
                <w:b w:val="0"/>
                <w:bCs/>
                <w:color w:val="auto"/>
                <w:szCs w:val="24"/>
                <w:highlight w:val="none"/>
                <w:lang w:val="en-US" w:eastAsia="zh-CN"/>
              </w:rPr>
            </w:pPr>
            <w:r>
              <w:rPr>
                <w:rFonts w:hint="eastAsia" w:ascii="仿宋" w:hAnsi="仿宋" w:cs="仿宋"/>
                <w:b w:val="0"/>
                <w:bCs/>
                <w:color w:val="auto"/>
                <w:szCs w:val="24"/>
                <w:highlight w:val="none"/>
                <w:lang w:val="en-US" w:eastAsia="zh-CN"/>
              </w:rPr>
              <w:t>试剂耗材一</w:t>
            </w:r>
          </w:p>
        </w:tc>
        <w:tc>
          <w:tcPr>
            <w:tcW w:w="683" w:type="pct"/>
            <w:noWrap w:val="0"/>
            <w:vAlign w:val="center"/>
          </w:tcPr>
          <w:p>
            <w:pPr>
              <w:widowControl/>
              <w:ind w:left="0" w:leftChars="0" w:firstLine="0" w:firstLineChars="0"/>
              <w:jc w:val="center"/>
              <w:textAlignment w:val="bottom"/>
              <w:rPr>
                <w:rFonts w:hint="eastAsia" w:ascii="仿宋" w:hAnsi="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详见参数</w:t>
            </w:r>
          </w:p>
        </w:tc>
        <w:tc>
          <w:tcPr>
            <w:tcW w:w="744" w:type="pct"/>
            <w:noWrap w:val="0"/>
            <w:vAlign w:val="center"/>
          </w:tcPr>
          <w:p>
            <w:pPr>
              <w:widowControl/>
              <w:ind w:left="0" w:leftChars="0" w:firstLine="0" w:firstLineChars="0"/>
              <w:jc w:val="center"/>
              <w:textAlignment w:val="bottom"/>
              <w:rPr>
                <w:rFonts w:hint="default" w:ascii="仿宋" w:hAnsi="仿宋" w:eastAsia="仿宋" w:cs="仿宋"/>
                <w:b w:val="0"/>
                <w:bCs w:val="0"/>
                <w:color w:val="auto"/>
                <w:szCs w:val="24"/>
                <w:highlight w:val="none"/>
                <w:lang w:val="en-US" w:eastAsia="zh-CN"/>
              </w:rPr>
            </w:pPr>
            <w:r>
              <w:rPr>
                <w:rFonts w:hint="eastAsia" w:ascii="仿宋" w:hAnsi="仿宋" w:cs="仿宋"/>
                <w:b w:val="0"/>
                <w:bCs w:val="0"/>
                <w:color w:val="auto"/>
                <w:szCs w:val="24"/>
                <w:highlight w:val="none"/>
                <w:lang w:val="en-US" w:eastAsia="zh-CN"/>
              </w:rPr>
              <w:t>40</w:t>
            </w:r>
          </w:p>
        </w:tc>
        <w:tc>
          <w:tcPr>
            <w:tcW w:w="2438" w:type="pct"/>
            <w:vMerge w:val="restar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1.符合《中华人民共和国政府采购法》第二十二条相关规定；</w:t>
            </w:r>
            <w:r>
              <w:rPr>
                <w:rFonts w:hint="eastAsia" w:ascii="仿宋" w:hAnsi="仿宋" w:cs="仿宋"/>
                <w:color w:val="auto"/>
                <w:sz w:val="24"/>
                <w:szCs w:val="24"/>
                <w:highlight w:val="none"/>
                <w:lang w:val="en-US" w:eastAsia="zh-CN"/>
              </w:rPr>
              <w:t>2</w:t>
            </w:r>
            <w:r>
              <w:rPr>
                <w:rFonts w:hint="eastAsia" w:ascii="仿宋" w:hAnsi="仿宋" w:eastAsia="仿宋" w:cs="仿宋"/>
                <w:color w:val="auto"/>
                <w:sz w:val="24"/>
                <w:szCs w:val="24"/>
                <w:highlight w:val="none"/>
              </w:rPr>
              <w:t>.在“信用中国”（www.creditchina.gov.cn）、中国政府采购网（www.ccgp.gov.cn）、“信用山东”（www. creditsd.gov.cn）等网站中被列入失信被执行人、重大税收违法案件当事人名单、政府采购严重违法失信行为记录名单的投标人，不得参加本次政府采购活动；</w:t>
            </w:r>
            <w:r>
              <w:rPr>
                <w:rFonts w:hint="eastAsia" w:ascii="仿宋" w:hAnsi="仿宋" w:cs="仿宋"/>
                <w:color w:val="auto"/>
                <w:sz w:val="24"/>
                <w:szCs w:val="24"/>
                <w:highlight w:val="none"/>
                <w:lang w:val="en-US" w:eastAsia="zh-CN"/>
              </w:rPr>
              <w:t>3</w:t>
            </w:r>
            <w:r>
              <w:rPr>
                <w:rFonts w:hint="eastAsia" w:ascii="仿宋" w:hAnsi="仿宋" w:eastAsia="仿宋" w:cs="仿宋"/>
                <w:color w:val="auto"/>
                <w:sz w:val="24"/>
                <w:szCs w:val="24"/>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3" w:hRule="atLeast"/>
          <w:jc w:val="center"/>
        </w:trPr>
        <w:tc>
          <w:tcPr>
            <w:tcW w:w="390" w:type="pct"/>
            <w:noWrap w:val="0"/>
            <w:vAlign w:val="center"/>
          </w:tcPr>
          <w:p>
            <w:pPr>
              <w:ind w:left="0" w:leftChars="0" w:firstLine="0" w:firstLineChars="0"/>
              <w:jc w:val="center"/>
              <w:rPr>
                <w:rFonts w:hint="default" w:ascii="仿宋" w:hAnsi="仿宋" w:cs="仿宋"/>
                <w:color w:val="auto"/>
                <w:sz w:val="24"/>
                <w:szCs w:val="24"/>
                <w:highlight w:val="none"/>
                <w:lang w:val="en-US" w:eastAsia="zh-CN"/>
              </w:rPr>
            </w:pPr>
            <w:r>
              <w:rPr>
                <w:rFonts w:hint="eastAsia" w:ascii="仿宋" w:hAnsi="仿宋" w:cs="仿宋"/>
                <w:color w:val="auto"/>
                <w:sz w:val="24"/>
                <w:szCs w:val="24"/>
                <w:highlight w:val="none"/>
                <w:lang w:val="en-US" w:eastAsia="zh-CN"/>
              </w:rPr>
              <w:t>B</w:t>
            </w:r>
          </w:p>
        </w:tc>
        <w:tc>
          <w:tcPr>
            <w:tcW w:w="743" w:type="pct"/>
            <w:noWrap w:val="0"/>
            <w:vAlign w:val="center"/>
          </w:tcPr>
          <w:p>
            <w:pPr>
              <w:ind w:left="0" w:leftChars="0" w:firstLine="0" w:firstLineChars="0"/>
              <w:jc w:val="center"/>
              <w:rPr>
                <w:rFonts w:hint="eastAsia" w:ascii="仿宋" w:hAnsi="仿宋" w:eastAsia="仿宋" w:cs="仿宋"/>
                <w:b w:val="0"/>
                <w:bCs/>
                <w:color w:val="auto"/>
                <w:szCs w:val="24"/>
                <w:highlight w:val="none"/>
                <w:lang w:val="en-US" w:eastAsia="zh-CN"/>
              </w:rPr>
            </w:pPr>
            <w:r>
              <w:rPr>
                <w:rFonts w:hint="eastAsia" w:ascii="仿宋" w:hAnsi="仿宋" w:cs="仿宋"/>
                <w:b w:val="0"/>
                <w:bCs/>
                <w:color w:val="auto"/>
                <w:szCs w:val="24"/>
                <w:highlight w:val="none"/>
                <w:lang w:val="en-US" w:eastAsia="zh-CN"/>
              </w:rPr>
              <w:t>试剂耗材二</w:t>
            </w:r>
          </w:p>
        </w:tc>
        <w:tc>
          <w:tcPr>
            <w:tcW w:w="683" w:type="pct"/>
            <w:noWrap w:val="0"/>
            <w:vAlign w:val="center"/>
          </w:tcPr>
          <w:p>
            <w:pPr>
              <w:widowControl/>
              <w:ind w:left="0" w:leftChars="0" w:firstLine="0" w:firstLineChars="0"/>
              <w:jc w:val="center"/>
              <w:textAlignment w:val="bottom"/>
              <w:rPr>
                <w:rFonts w:hint="eastAsia" w:ascii="仿宋" w:hAnsi="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详见参数</w:t>
            </w:r>
          </w:p>
        </w:tc>
        <w:tc>
          <w:tcPr>
            <w:tcW w:w="744" w:type="pct"/>
            <w:noWrap w:val="0"/>
            <w:vAlign w:val="center"/>
          </w:tcPr>
          <w:p>
            <w:pPr>
              <w:widowControl/>
              <w:ind w:left="0" w:leftChars="0" w:firstLine="0" w:firstLineChars="0"/>
              <w:jc w:val="center"/>
              <w:textAlignment w:val="bottom"/>
              <w:rPr>
                <w:rFonts w:hint="default" w:ascii="仿宋" w:hAnsi="仿宋" w:eastAsia="仿宋" w:cs="仿宋"/>
                <w:b w:val="0"/>
                <w:bCs w:val="0"/>
                <w:color w:val="auto"/>
                <w:szCs w:val="24"/>
                <w:highlight w:val="none"/>
                <w:lang w:val="en-US" w:eastAsia="zh-CN"/>
              </w:rPr>
            </w:pPr>
            <w:r>
              <w:rPr>
                <w:rFonts w:hint="eastAsia" w:ascii="仿宋" w:hAnsi="仿宋" w:cs="仿宋"/>
                <w:b w:val="0"/>
                <w:bCs w:val="0"/>
                <w:color w:val="auto"/>
                <w:szCs w:val="24"/>
                <w:highlight w:val="none"/>
                <w:lang w:val="en-US" w:eastAsia="zh-CN"/>
              </w:rPr>
              <w:t>80</w:t>
            </w:r>
          </w:p>
        </w:tc>
        <w:tc>
          <w:tcPr>
            <w:tcW w:w="2438" w:type="pct"/>
            <w:vMerge w:val="continue"/>
            <w:noWrap w:val="0"/>
            <w:vAlign w:val="center"/>
          </w:tcPr>
          <w:p>
            <w:pPr>
              <w:spacing w:line="360" w:lineRule="auto"/>
              <w:jc w:val="left"/>
              <w:rPr>
                <w:rFonts w:hint="eastAsia" w:ascii="仿宋" w:hAnsi="仿宋" w:eastAsia="仿宋" w:cs="仿宋"/>
                <w:color w:val="auto"/>
                <w:sz w:val="24"/>
                <w:szCs w:val="24"/>
                <w:highlight w:val="none"/>
              </w:rPr>
            </w:pPr>
          </w:p>
        </w:tc>
      </w:tr>
    </w:tbl>
    <w:p>
      <w:pPr>
        <w:pStyle w:val="33"/>
        <w:spacing w:line="360" w:lineRule="auto"/>
        <w:ind w:left="0" w:leftChars="0"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lang w:eastAsia="zh-CN"/>
        </w:rPr>
        <w:t>三</w:t>
      </w:r>
      <w:r>
        <w:rPr>
          <w:rFonts w:hint="eastAsia" w:ascii="仿宋" w:hAnsi="仿宋" w:eastAsia="仿宋" w:cs="仿宋"/>
          <w:b/>
          <w:color w:val="auto"/>
          <w:highlight w:val="none"/>
        </w:rPr>
        <w:t>、招标文件发售的时间、地点、售价及方式</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21</w:t>
      </w:r>
      <w:r>
        <w:rPr>
          <w:rFonts w:hint="eastAsia" w:ascii="仿宋" w:hAnsi="仿宋" w:eastAsia="仿宋" w:cs="仿宋"/>
          <w:color w:val="auto"/>
          <w:highlight w:val="none"/>
        </w:rPr>
        <w:t>日至202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27</w:t>
      </w:r>
      <w:r>
        <w:rPr>
          <w:rFonts w:hint="eastAsia" w:ascii="仿宋" w:hAnsi="仿宋" w:eastAsia="仿宋" w:cs="仿宋"/>
          <w:color w:val="auto"/>
          <w:highlight w:val="none"/>
        </w:rPr>
        <w:t>日，每天8:30-12:00、13:30-1</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0（节假日除外）。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2、地点：</w:t>
      </w:r>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w:t>
      </w:r>
    </w:p>
    <w:p>
      <w:pPr>
        <w:widowControl/>
        <w:spacing w:line="48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报名备案登记方式：凡有意参加本次政府采购的供应商必须在中国山东政府采购网（http://www.ccgp-shandong.gov.cn）进行注册并报名，网站报名成功后携带营业执照复印件、授权委托书（格式自拟）、盖章资料前来招标代理机构现场报名或邮箱报名（联系电话：</w:t>
      </w:r>
      <w:r>
        <w:rPr>
          <w:rFonts w:hint="eastAsia" w:ascii="仿宋" w:hAnsi="仿宋" w:cs="仿宋"/>
          <w:color w:val="auto"/>
          <w:highlight w:val="none"/>
          <w:lang w:val="en-US" w:eastAsia="zh-CN"/>
        </w:rPr>
        <w:t>15650010801/19861051518</w:t>
      </w:r>
      <w:r>
        <w:rPr>
          <w:rFonts w:hint="eastAsia" w:ascii="仿宋" w:hAnsi="仿宋" w:eastAsia="仿宋" w:cs="仿宋"/>
          <w:color w:val="auto"/>
          <w:sz w:val="24"/>
          <w:highlight w:val="none"/>
        </w:rPr>
        <w:t>，邮箱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199</w:t>
      </w:r>
      <w:r>
        <w:rPr>
          <w:rFonts w:hint="eastAsia" w:ascii="仿宋" w:hAnsi="仿宋" w:eastAsia="仿宋" w:cs="仿宋"/>
          <w:b/>
          <w:bCs/>
          <w:color w:val="auto"/>
          <w:sz w:val="24"/>
          <w:highlight w:val="none"/>
          <w:lang w:val="en-US" w:eastAsia="zh-CN"/>
        </w:rPr>
        <w:t>报名费+包号</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投标人最终资格的确认以评审小组的资格后审为准。标书售出不退。招标文件售价：</w:t>
      </w:r>
      <w:r>
        <w:rPr>
          <w:rFonts w:hint="eastAsia" w:ascii="仿宋" w:hAnsi="仿宋" w:cs="仿宋"/>
          <w:color w:val="auto"/>
          <w:sz w:val="24"/>
          <w:highlight w:val="none"/>
          <w:lang w:val="en-US" w:eastAsia="zh-CN"/>
        </w:rPr>
        <w:t>3</w:t>
      </w:r>
      <w:r>
        <w:rPr>
          <w:rFonts w:hint="eastAsia" w:ascii="仿宋" w:hAnsi="仿宋" w:eastAsia="仿宋" w:cs="仿宋"/>
          <w:color w:val="auto"/>
          <w:sz w:val="24"/>
          <w:highlight w:val="none"/>
        </w:rPr>
        <w:t>00 元/包</w:t>
      </w:r>
    </w:p>
    <w:p>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地点：济南市历下区经十路13777号中润世纪广场18号楼603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四</w:t>
      </w:r>
      <w:r>
        <w:rPr>
          <w:rFonts w:hint="eastAsia" w:ascii="仿宋" w:hAnsi="仿宋" w:eastAsia="仿宋" w:cs="仿宋"/>
          <w:b/>
          <w:color w:val="auto"/>
          <w:highlight w:val="none"/>
        </w:rPr>
        <w:t>、投标文件的递交</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1、递交投标文件时间：202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8</w:t>
      </w:r>
      <w:r>
        <w:rPr>
          <w:rFonts w:hint="eastAsia" w:ascii="仿宋" w:hAnsi="仿宋" w:eastAsia="仿宋" w:cs="仿宋"/>
          <w:color w:val="auto"/>
          <w:highlight w:val="none"/>
        </w:rPr>
        <w:t>月</w:t>
      </w:r>
      <w:r>
        <w:rPr>
          <w:rFonts w:hint="eastAsia" w:ascii="仿宋" w:hAnsi="仿宋" w:cs="仿宋"/>
          <w:color w:val="auto"/>
          <w:highlight w:val="none"/>
          <w:lang w:val="en-US" w:eastAsia="zh-CN"/>
        </w:rPr>
        <w:t>11</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08</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w:t>
      </w:r>
      <w:r>
        <w:rPr>
          <w:rFonts w:hint="eastAsia" w:ascii="仿宋" w:hAnsi="仿宋" w:eastAsia="仿宋" w:cs="仿宋"/>
          <w:color w:val="auto"/>
          <w:highlight w:val="none"/>
          <w:lang w:val="en-US" w:eastAsia="zh-CN"/>
        </w:rPr>
        <w:t>09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2、递交投标文件截止时间和开标时间：202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8</w:t>
      </w:r>
      <w:r>
        <w:rPr>
          <w:rFonts w:hint="eastAsia" w:ascii="仿宋" w:hAnsi="仿宋" w:eastAsia="仿宋" w:cs="仿宋"/>
          <w:color w:val="auto"/>
          <w:highlight w:val="none"/>
        </w:rPr>
        <w:t>月</w:t>
      </w:r>
      <w:r>
        <w:rPr>
          <w:rFonts w:hint="eastAsia" w:ascii="仿宋" w:hAnsi="仿宋" w:cs="仿宋"/>
          <w:color w:val="auto"/>
          <w:highlight w:val="none"/>
          <w:lang w:val="en-US" w:eastAsia="zh-CN"/>
        </w:rPr>
        <w:t>11</w:t>
      </w:r>
      <w:r>
        <w:rPr>
          <w:rFonts w:hint="eastAsia" w:ascii="仿宋" w:hAnsi="仿宋" w:eastAsia="仿宋" w:cs="仿宋"/>
          <w:color w:val="auto"/>
          <w:highlight w:val="none"/>
        </w:rPr>
        <w:t>日0</w:t>
      </w:r>
      <w:r>
        <w:rPr>
          <w:rFonts w:hint="eastAsia" w:ascii="仿宋" w:hAnsi="仿宋" w:eastAsia="仿宋" w:cs="仿宋"/>
          <w:color w:val="auto"/>
          <w:highlight w:val="none"/>
          <w:lang w:val="en-US" w:eastAsia="zh-CN"/>
        </w:rPr>
        <w:t>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0（北京时间），逾期递交的投标文件不予接受。</w:t>
      </w:r>
    </w:p>
    <w:p>
      <w:pPr>
        <w:pStyle w:val="33"/>
        <w:spacing w:line="360" w:lineRule="auto"/>
        <w:ind w:firstLine="48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3、递交投标文件和开标地点：</w:t>
      </w:r>
      <w:r>
        <w:rPr>
          <w:rFonts w:hint="eastAsia" w:ascii="仿宋" w:hAnsi="仿宋" w:eastAsia="仿宋" w:cs="仿宋"/>
          <w:color w:val="auto"/>
          <w:sz w:val="24"/>
          <w:highlight w:val="none"/>
        </w:rPr>
        <w:t>济南市历下区经十路13777号中润世纪广场18号楼603</w:t>
      </w:r>
      <w:r>
        <w:rPr>
          <w:rFonts w:hint="eastAsia" w:ascii="仿宋" w:hAnsi="仿宋" w:cs="仿宋"/>
          <w:color w:val="auto"/>
          <w:sz w:val="24"/>
          <w:highlight w:val="none"/>
          <w:lang w:val="en-US" w:eastAsia="zh-CN"/>
        </w:rPr>
        <w:t>A</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五</w:t>
      </w:r>
      <w:r>
        <w:rPr>
          <w:rFonts w:hint="eastAsia" w:ascii="仿宋" w:hAnsi="仿宋" w:eastAsia="仿宋" w:cs="仿宋"/>
          <w:b/>
          <w:color w:val="auto"/>
          <w:highlight w:val="none"/>
        </w:rPr>
        <w:t>、采购人信息</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cs="仿宋"/>
          <w:color w:val="auto"/>
          <w:highlight w:val="none"/>
          <w:lang w:eastAsia="zh-CN"/>
        </w:rPr>
        <w:t>山东第一医科大学</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六</w:t>
      </w:r>
      <w:r>
        <w:rPr>
          <w:rFonts w:hint="eastAsia" w:ascii="仿宋" w:hAnsi="仿宋" w:eastAsia="仿宋" w:cs="仿宋"/>
          <w:b/>
          <w:color w:val="auto"/>
          <w:highlight w:val="none"/>
        </w:rPr>
        <w:t>、采购代理机构信息</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山东华仁永旺招标有限公司</w:t>
      </w:r>
    </w:p>
    <w:p>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2、地址：</w:t>
      </w:r>
      <w:r>
        <w:rPr>
          <w:rFonts w:hint="eastAsia" w:ascii="仿宋" w:hAnsi="仿宋" w:eastAsia="仿宋" w:cs="仿宋"/>
          <w:color w:val="auto"/>
          <w:sz w:val="24"/>
          <w:highlight w:val="none"/>
        </w:rPr>
        <w:t>济南市历下区经十路13777号中润世纪广场18号楼603</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3、项目联系人：</w:t>
      </w:r>
      <w:r>
        <w:rPr>
          <w:rFonts w:hint="eastAsia" w:ascii="仿宋" w:hAnsi="仿宋" w:eastAsia="仿宋" w:cs="仿宋"/>
          <w:color w:val="auto"/>
          <w:highlight w:val="none"/>
          <w:lang w:eastAsia="zh-CN"/>
        </w:rPr>
        <w:t>于美玲</w:t>
      </w:r>
      <w:r>
        <w:rPr>
          <w:rFonts w:hint="eastAsia" w:ascii="仿宋" w:hAnsi="仿宋" w:eastAsia="仿宋" w:cs="仿宋"/>
          <w:color w:val="auto"/>
          <w:highlight w:val="none"/>
        </w:rPr>
        <w:t>、</w:t>
      </w:r>
      <w:r>
        <w:rPr>
          <w:rFonts w:hint="eastAsia" w:ascii="仿宋" w:hAnsi="仿宋" w:cs="仿宋"/>
          <w:color w:val="auto"/>
          <w:highlight w:val="none"/>
          <w:lang w:eastAsia="zh-CN"/>
        </w:rPr>
        <w:t>葛东银</w:t>
      </w:r>
    </w:p>
    <w:p>
      <w:pPr>
        <w:pStyle w:val="33"/>
        <w:spacing w:line="360" w:lineRule="auto"/>
        <w:ind w:firstLine="480"/>
        <w:rPr>
          <w:rFonts w:hint="default" w:ascii="仿宋" w:hAnsi="仿宋" w:eastAsia="仿宋" w:cs="仿宋"/>
          <w:b/>
          <w:color w:val="auto"/>
          <w:sz w:val="32"/>
          <w:szCs w:val="32"/>
          <w:highlight w:val="none"/>
          <w:lang w:val="en-US" w:eastAsia="zh-CN"/>
        </w:rPr>
      </w:pPr>
      <w:r>
        <w:rPr>
          <w:rFonts w:hint="eastAsia" w:ascii="仿宋" w:hAnsi="仿宋" w:eastAsia="仿宋" w:cs="仿宋"/>
          <w:color w:val="auto"/>
          <w:highlight w:val="none"/>
        </w:rPr>
        <w:t>4、</w:t>
      </w:r>
      <w:r>
        <w:rPr>
          <w:rFonts w:hint="eastAsia" w:ascii="仿宋" w:hAnsi="仿宋" w:eastAsia="仿宋" w:cs="仿宋"/>
          <w:color w:val="auto"/>
          <w:highlight w:val="none"/>
          <w:lang w:eastAsia="zh-CN"/>
        </w:rPr>
        <w:t>联系电话</w:t>
      </w:r>
      <w:r>
        <w:rPr>
          <w:rFonts w:hint="eastAsia" w:ascii="仿宋" w:hAnsi="仿宋" w:eastAsia="仿宋" w:cs="仿宋"/>
          <w:color w:val="auto"/>
          <w:highlight w:val="none"/>
        </w:rPr>
        <w:t>：</w:t>
      </w:r>
      <w:r>
        <w:rPr>
          <w:rFonts w:hint="eastAsia" w:ascii="仿宋" w:hAnsi="仿宋" w:cs="仿宋"/>
          <w:color w:val="auto"/>
          <w:highlight w:val="none"/>
          <w:lang w:val="en-US" w:eastAsia="zh-CN"/>
        </w:rPr>
        <w:t>15650010801/19861051518</w:t>
      </w:r>
    </w:p>
    <w:p>
      <w:pPr>
        <w:widowControl/>
        <w:spacing w:line="240" w:lineRule="auto"/>
        <w:ind w:firstLine="0" w:firstLineChars="0"/>
        <w:jc w:val="center"/>
        <w:rPr>
          <w:rFonts w:hint="eastAsia" w:ascii="仿宋" w:hAnsi="仿宋" w:eastAsia="仿宋" w:cs="仿宋"/>
          <w:b/>
          <w:color w:val="auto"/>
          <w:sz w:val="32"/>
          <w:szCs w:val="32"/>
          <w:highlight w:val="none"/>
        </w:rPr>
      </w:pPr>
      <w:bookmarkStart w:id="2" w:name="_Toc106784519"/>
      <w:bookmarkStart w:id="3" w:name="_Toc106784592"/>
      <w:bookmarkStart w:id="4" w:name="_Toc69110203"/>
    </w:p>
    <w:p>
      <w:pPr>
        <w:widowControl/>
        <w:spacing w:line="240" w:lineRule="auto"/>
        <w:ind w:firstLine="0" w:firstLineChars="0"/>
        <w:jc w:val="center"/>
        <w:rPr>
          <w:rFonts w:hint="eastAsia" w:ascii="仿宋" w:hAnsi="仿宋" w:eastAsia="仿宋" w:cs="仿宋"/>
          <w:b/>
          <w:color w:val="auto"/>
          <w:sz w:val="32"/>
          <w:szCs w:val="32"/>
          <w:highlight w:val="none"/>
        </w:rPr>
      </w:pPr>
    </w:p>
    <w:p>
      <w:pPr>
        <w:widowControl/>
        <w:spacing w:line="240" w:lineRule="auto"/>
        <w:ind w:firstLine="0" w:firstLineChars="0"/>
        <w:jc w:val="center"/>
        <w:rPr>
          <w:rFonts w:hint="eastAsia" w:ascii="仿宋" w:hAnsi="仿宋" w:eastAsia="仿宋" w:cs="仿宋"/>
          <w:b/>
          <w:color w:val="auto"/>
          <w:sz w:val="32"/>
          <w:szCs w:val="32"/>
          <w:highlight w:val="none"/>
        </w:rPr>
      </w:pPr>
    </w:p>
    <w:p>
      <w:pPr>
        <w:widowControl/>
        <w:spacing w:line="240" w:lineRule="auto"/>
        <w:ind w:firstLine="0" w:firstLineChars="0"/>
        <w:jc w:val="center"/>
        <w:rPr>
          <w:rFonts w:hint="eastAsia" w:ascii="仿宋" w:hAnsi="仿宋" w:eastAsia="仿宋" w:cs="仿宋"/>
          <w:b/>
          <w:color w:val="auto"/>
          <w:sz w:val="32"/>
          <w:szCs w:val="32"/>
          <w:highlight w:val="none"/>
        </w:rPr>
      </w:pPr>
    </w:p>
    <w:p>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ind w:left="0" w:leftChars="0" w:firstLine="0" w:firstLineChars="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第六部分投标人须知附表</w:t>
      </w:r>
      <w:bookmarkEnd w:id="2"/>
      <w:bookmarkEnd w:id="3"/>
      <w:bookmarkEnd w:id="4"/>
    </w:p>
    <w:tbl>
      <w:tblPr>
        <w:tblStyle w:val="23"/>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650"/>
        <w:gridCol w:w="1685"/>
        <w:gridCol w:w="735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335"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869"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内容</w:t>
            </w:r>
          </w:p>
        </w:tc>
        <w:tc>
          <w:tcPr>
            <w:tcW w:w="3795"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r>
              <w:rPr>
                <w:rFonts w:hint="eastAsia" w:ascii="仿宋" w:hAnsi="仿宋" w:cs="仿宋"/>
                <w:color w:val="auto"/>
                <w:szCs w:val="24"/>
                <w:highlight w:val="none"/>
                <w:lang w:eastAsia="zh-CN"/>
              </w:rPr>
              <w:t>山东第一医科大学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3795"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名称：</w:t>
            </w:r>
            <w:r>
              <w:rPr>
                <w:rFonts w:hint="eastAsia" w:ascii="仿宋" w:hAnsi="仿宋" w:eastAsia="仿宋" w:cs="仿宋"/>
                <w:color w:val="auto"/>
                <w:highlight w:val="none"/>
                <w:lang w:eastAsia="zh-CN"/>
              </w:rPr>
              <w:t>山东华仁永旺招标有限公司</w:t>
            </w:r>
          </w:p>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地址：</w:t>
            </w:r>
            <w:r>
              <w:rPr>
                <w:rFonts w:hint="eastAsia" w:ascii="仿宋" w:hAnsi="仿宋" w:eastAsia="仿宋" w:cs="仿宋"/>
                <w:color w:val="auto"/>
                <w:highlight w:val="none"/>
                <w:lang w:eastAsia="zh-CN"/>
              </w:rPr>
              <w:t>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95"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投标人特定资格要求</w:t>
            </w:r>
          </w:p>
        </w:tc>
        <w:tc>
          <w:tcPr>
            <w:tcW w:w="3795"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cs="仿宋"/>
                <w:color w:val="auto"/>
                <w:highlight w:val="none"/>
                <w:lang w:eastAsia="zh-CN"/>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计划编号</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val="en-US" w:eastAsia="zh-CN"/>
              </w:rPr>
            </w:pPr>
            <w:r>
              <w:rPr>
                <w:rFonts w:hint="eastAsia" w:ascii="仿宋" w:hAnsi="仿宋" w:cs="仿宋"/>
                <w:color w:val="auto"/>
                <w:highlight w:val="none"/>
                <w:lang w:val="en-US" w:eastAsia="zh-CN"/>
              </w:rPr>
              <w:t>37000000014006520230217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rPr>
              <w:t>资金性质</w:t>
            </w:r>
          </w:p>
        </w:tc>
        <w:tc>
          <w:tcPr>
            <w:tcW w:w="3795"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cs="仿宋"/>
                <w:color w:val="auto"/>
                <w:highlight w:val="none"/>
                <w:lang w:val="en-US"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采购方式</w:t>
            </w:r>
          </w:p>
        </w:tc>
        <w:tc>
          <w:tcPr>
            <w:tcW w:w="3795"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公开招标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疑问</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投标人有疑问需要采购人解答的须在招标文件发售截止次日12:00之前发送到</w:t>
            </w:r>
            <w:r>
              <w:rPr>
                <w:rFonts w:hint="eastAsia" w:ascii="仿宋" w:hAnsi="仿宋" w:cs="仿宋"/>
                <w:color w:val="auto"/>
                <w:highlight w:val="none"/>
                <w:lang w:eastAsia="zh-CN"/>
              </w:rPr>
              <w:t>sdhryw@126.com</w:t>
            </w:r>
            <w:r>
              <w:rPr>
                <w:rFonts w:hint="eastAsia" w:ascii="仿宋" w:hAnsi="仿宋" w:eastAsia="仿宋" w:cs="仿宋"/>
                <w:color w:val="auto"/>
                <w:highlight w:val="none"/>
              </w:rPr>
              <w:t>，注明邮件主题为XXX公司关于XXX项目X包的疑问，并电话告知采购代理机构（</w:t>
            </w:r>
            <w:r>
              <w:rPr>
                <w:rFonts w:hint="eastAsia" w:ascii="仿宋" w:hAnsi="仿宋" w:cs="仿宋"/>
                <w:color w:val="auto"/>
                <w:highlight w:val="none"/>
                <w:lang w:val="en-US" w:eastAsia="zh-CN"/>
              </w:rPr>
              <w:t>15650010801/19861051518</w:t>
            </w:r>
            <w:r>
              <w:rPr>
                <w:rFonts w:hint="eastAsia" w:ascii="仿宋" w:hAnsi="仿宋" w:eastAsia="仿宋" w:cs="仿宋"/>
                <w:color w:val="auto"/>
                <w:highlight w:val="none"/>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投标有效期</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40"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是否专门面向中小微企业采购</w:t>
            </w:r>
          </w:p>
        </w:tc>
        <w:tc>
          <w:tcPr>
            <w:tcW w:w="3795"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cs="仿宋"/>
                <w:color w:val="auto"/>
                <w:sz w:val="36"/>
                <w:highlight w:val="none"/>
                <w:lang w:eastAsia="zh-CN"/>
              </w:rPr>
              <w:t>□</w:t>
            </w:r>
            <w:r>
              <w:rPr>
                <w:rFonts w:hint="eastAsia" w:ascii="仿宋" w:hAnsi="仿宋" w:eastAsia="仿宋" w:cs="仿宋"/>
                <w:color w:val="auto"/>
                <w:highlight w:val="none"/>
              </w:rPr>
              <w:t>是</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中小企业划分标准中采购标的所属行业</w:t>
            </w:r>
          </w:p>
        </w:tc>
        <w:tc>
          <w:tcPr>
            <w:tcW w:w="3795"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是否允许分包、转包</w:t>
            </w:r>
          </w:p>
        </w:tc>
        <w:tc>
          <w:tcPr>
            <w:tcW w:w="3795"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是</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12</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备选方案</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cs="仿宋"/>
                <w:color w:val="auto"/>
                <w:sz w:val="36"/>
                <w:highlight w:val="none"/>
                <w:lang w:eastAsia="zh-CN"/>
              </w:rPr>
              <w:t>☑</w:t>
            </w:r>
            <w:r>
              <w:rPr>
                <w:rFonts w:hint="eastAsia" w:ascii="仿宋" w:hAnsi="仿宋" w:eastAsia="仿宋" w:cs="仿宋"/>
                <w:color w:val="auto"/>
                <w:highlight w:val="none"/>
              </w:rPr>
              <w:t>不允许</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szCs w:val="24"/>
                <w:highlight w:val="none"/>
              </w:rPr>
              <w:t>允许，备选投标方案的编制要求、评标办法：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13</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样品要求</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cs="仿宋"/>
                <w:color w:val="auto"/>
                <w:sz w:val="36"/>
                <w:highlight w:val="none"/>
                <w:lang w:eastAsia="zh-CN"/>
              </w:rPr>
              <w:t>☑</w:t>
            </w:r>
            <w:r>
              <w:rPr>
                <w:rFonts w:hint="eastAsia" w:ascii="仿宋" w:hAnsi="仿宋" w:eastAsia="仿宋" w:cs="仿宋"/>
                <w:color w:val="auto"/>
                <w:highlight w:val="none"/>
              </w:rPr>
              <w:t>不需提交样品</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演示要求</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cs="仿宋"/>
                <w:color w:val="auto"/>
                <w:sz w:val="36"/>
                <w:highlight w:val="none"/>
                <w:lang w:eastAsia="zh-CN"/>
              </w:rPr>
              <w:t>☑</w:t>
            </w:r>
            <w:r>
              <w:rPr>
                <w:rFonts w:hint="eastAsia" w:ascii="仿宋" w:hAnsi="仿宋" w:eastAsia="仿宋" w:cs="仿宋"/>
                <w:color w:val="auto"/>
                <w:highlight w:val="none"/>
              </w:rPr>
              <w:t>不需演示</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踏勘现场</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cs="仿宋"/>
                <w:color w:val="auto"/>
                <w:sz w:val="36"/>
                <w:highlight w:val="none"/>
                <w:lang w:eastAsia="zh-CN"/>
              </w:rPr>
              <w:t>☑</w:t>
            </w:r>
            <w:r>
              <w:rPr>
                <w:rFonts w:hint="eastAsia" w:ascii="仿宋" w:hAnsi="仿宋" w:eastAsia="仿宋" w:cs="仿宋"/>
                <w:color w:val="auto"/>
                <w:highlight w:val="none"/>
              </w:rPr>
              <w:t>不组织</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报价方式</w:t>
            </w:r>
          </w:p>
        </w:tc>
        <w:tc>
          <w:tcPr>
            <w:tcW w:w="3795" w:type="pct"/>
            <w:vAlign w:val="center"/>
          </w:tcPr>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1、本项目为交钥匙工程。</w:t>
            </w:r>
          </w:p>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2、人民币完税报价； </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3、本项目采用全费用报价方式，投标人在报价时应充分考虑市场环境和生产要素价格变化对合同价的影响，可考虑一定的风险系数；所填报价格在合同实施间不因市场变化（或政策性）因素而变动。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填报的全费用报价包括为完成招标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中标服务费等所有费用的总和。上述费用均摊在各子项单价中，不单独结算。</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上述费用描述须包括所有采购材料到指定交货地点的所有费用，采购人不支付除投标人报价的任何附加费用。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b/>
                <w:bCs/>
                <w:color w:val="auto"/>
                <w:highlight w:val="none"/>
              </w:rPr>
              <w:t>4、凡投标人在报价中未列的项目或遗漏项目，采购人将一律视为已包括在其报价中，在合同执行中将不予考虑。投标人应根据现场实际情况进行复核服务需求，如服务需求调整视为投标人风险自担，采购人将不再采购报价外追加费用</w:t>
            </w:r>
            <w:r>
              <w:rPr>
                <w:rFonts w:hint="eastAsia" w:ascii="仿宋" w:hAnsi="仿宋" w:eastAsia="仿宋" w:cs="仿宋"/>
                <w:color w:val="auto"/>
                <w:highlight w:val="non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质保期</w:t>
            </w:r>
          </w:p>
        </w:tc>
        <w:tc>
          <w:tcPr>
            <w:tcW w:w="3795" w:type="pct"/>
            <w:vAlign w:val="center"/>
          </w:tcPr>
          <w:p>
            <w:pPr>
              <w:adjustRightInd w:val="0"/>
              <w:snapToGrid w:val="0"/>
              <w:spacing w:line="240" w:lineRule="auto"/>
              <w:ind w:firstLine="0" w:firstLineChars="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详见招标文件“第八部分技术要求及说明”具体要求</w:t>
            </w:r>
            <w:r>
              <w:rPr>
                <w:rFonts w:hint="eastAsia" w:ascii="仿宋" w:hAnsi="仿宋" w:eastAsia="仿宋" w:cs="仿宋"/>
                <w:color w:val="auto"/>
                <w:kern w:val="0"/>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投标人可根据自身实际情况自报最长质保期。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供货期</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详见招标文件“第八部分技术要求及说明”具体要求</w:t>
            </w:r>
            <w:r>
              <w:rPr>
                <w:rFonts w:hint="eastAsia" w:ascii="仿宋" w:hAnsi="仿宋" w:eastAsia="仿宋" w:cs="仿宋"/>
                <w:color w:val="auto"/>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highlight w:val="none"/>
              </w:rPr>
              <w:t>投标人可根据自身实际情况自报最短供货期。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19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交货地点</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投标保证金</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根据鲁财采【2019】40号规定，本项目不向诚信记录良好的投标人收取投标保证金。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93"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付款方式及履约保证金</w:t>
            </w:r>
          </w:p>
        </w:tc>
        <w:tc>
          <w:tcPr>
            <w:tcW w:w="3795" w:type="pct"/>
            <w:vAlign w:val="center"/>
          </w:tcPr>
          <w:p>
            <w:pPr>
              <w:pStyle w:val="2"/>
              <w:spacing w:line="360" w:lineRule="auto"/>
              <w:ind w:left="0" w:leftChars="0" w:firstLine="0" w:firstLineChars="0"/>
              <w:rPr>
                <w:rFonts w:hint="eastAsia" w:ascii="仿宋" w:hAnsi="仿宋" w:eastAsia="仿宋" w:cs="仿宋"/>
                <w:color w:val="auto"/>
                <w:szCs w:val="24"/>
                <w:highlight w:val="none"/>
              </w:rPr>
            </w:pPr>
            <w:r>
              <w:rPr>
                <w:rFonts w:hint="eastAsia" w:ascii="宋体" w:hAnsi="宋体" w:cs="宋体"/>
                <w:color w:val="auto"/>
                <w:sz w:val="24"/>
                <w:highlight w:val="none"/>
              </w:rPr>
              <w:t>合同签订后3个工作日成交供应商向采购人指定账户缴纳合同金额5%的履约保证金。在合同签订生效且具备实施条件后，成交供应商向项目负责人或指定人申请合同金额70%的预付款，采购人确定后7个工作日内支付。项目验收合格、审计定案（若需要）后7个工作日内，支付剩余合同货款</w:t>
            </w:r>
            <w:r>
              <w:rPr>
                <w:rFonts w:hint="eastAsia" w:ascii="宋体" w:hAnsi="宋体" w:cs="宋体"/>
                <w:color w:val="auto"/>
                <w:sz w:val="24"/>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投标文件格式</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按招标文件要求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投标文件组成、份数、密封要求</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正本一份，副本七份，报价一览表（一式三份），USB 接口设备存储的电子版投标文件一份（要求：可编辑WORD 版本、签字盖章的投标文件正本PDF 版本）。</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正本、副本、报价一览表、电子版投标文件分别单独密封。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4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关于递交原件的规定</w:t>
            </w:r>
          </w:p>
        </w:tc>
        <w:tc>
          <w:tcPr>
            <w:tcW w:w="3795" w:type="pct"/>
            <w:vAlign w:val="center"/>
          </w:tcPr>
          <w:p>
            <w:pPr>
              <w:pStyle w:val="6"/>
              <w:spacing w:before="0" w:after="0"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24"/>
                <w:szCs w:val="20"/>
                <w:highlight w:val="none"/>
              </w:rPr>
              <w:t>业绩加分部分</w:t>
            </w:r>
            <w:r>
              <w:rPr>
                <w:rFonts w:hint="eastAsia" w:ascii="仿宋" w:hAnsi="仿宋" w:eastAsia="仿宋" w:cs="仿宋"/>
                <w:b w:val="0"/>
                <w:bCs w:val="0"/>
                <w:color w:val="auto"/>
                <w:sz w:val="24"/>
                <w:szCs w:val="20"/>
                <w:highlight w:val="none"/>
              </w:rPr>
              <w:t>：</w:t>
            </w:r>
            <w:r>
              <w:rPr>
                <w:rFonts w:hint="eastAsia" w:ascii="仿宋" w:hAnsi="仿宋" w:eastAsia="仿宋" w:cs="仿宋"/>
                <w:b w:val="0"/>
                <w:bCs w:val="0"/>
                <w:color w:val="auto"/>
                <w:sz w:val="24"/>
                <w:szCs w:val="20"/>
                <w:highlight w:val="none"/>
                <w:lang w:eastAsia="zh-CN"/>
              </w:rPr>
              <w:t>若要求提供原件的，</w:t>
            </w:r>
            <w:r>
              <w:rPr>
                <w:rFonts w:hint="eastAsia" w:ascii="仿宋" w:hAnsi="仿宋" w:eastAsia="仿宋" w:cs="仿宋"/>
                <w:b w:val="0"/>
                <w:bCs w:val="0"/>
                <w:color w:val="auto"/>
                <w:sz w:val="24"/>
                <w:szCs w:val="20"/>
                <w:highlight w:val="none"/>
              </w:rPr>
              <w:t>须提供合同原件（复印件加盖投标人公章胶装于投标文件），该合同不提供或提供不全不得分。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25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递交投标文件的时间和地点</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8</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11</w:t>
            </w:r>
            <w:r>
              <w:rPr>
                <w:rFonts w:hint="eastAsia" w:ascii="仿宋" w:hAnsi="仿宋" w:eastAsia="仿宋" w:cs="仿宋"/>
                <w:color w:val="auto"/>
                <w:szCs w:val="24"/>
                <w:highlight w:val="none"/>
              </w:rPr>
              <w:t>日</w:t>
            </w:r>
            <w:r>
              <w:rPr>
                <w:rFonts w:hint="eastAsia" w:ascii="仿宋" w:hAnsi="仿宋" w:eastAsia="仿宋" w:cs="仿宋"/>
                <w:color w:val="auto"/>
                <w:szCs w:val="24"/>
                <w:highlight w:val="none"/>
                <w:lang w:val="en-US" w:eastAsia="zh-CN"/>
              </w:rPr>
              <w:t>08</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0-0</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开标时间和地点</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8</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11</w:t>
            </w:r>
            <w:r>
              <w:rPr>
                <w:rFonts w:hint="eastAsia" w:ascii="仿宋" w:hAnsi="仿宋" w:eastAsia="仿宋" w:cs="仿宋"/>
                <w:color w:val="auto"/>
                <w:szCs w:val="24"/>
                <w:highlight w:val="none"/>
              </w:rPr>
              <w:t>日</w:t>
            </w:r>
            <w:r>
              <w:rPr>
                <w:rFonts w:hint="eastAsia" w:ascii="仿宋" w:hAnsi="仿宋" w:cs="仿宋"/>
                <w:color w:val="auto"/>
                <w:szCs w:val="24"/>
                <w:highlight w:val="none"/>
                <w:lang w:val="en-US" w:eastAsia="zh-CN"/>
              </w:rPr>
              <w:t>09</w:t>
            </w:r>
            <w:r>
              <w:rPr>
                <w:rFonts w:hint="eastAsia" w:ascii="仿宋" w:hAnsi="仿宋" w:eastAsia="仿宋" w:cs="仿宋"/>
                <w:color w:val="auto"/>
                <w:szCs w:val="24"/>
                <w:highlight w:val="none"/>
              </w:rPr>
              <w:t>:</w:t>
            </w:r>
            <w:r>
              <w:rPr>
                <w:rFonts w:hint="eastAsia" w:ascii="仿宋" w:hAnsi="仿宋" w:cs="仿宋"/>
                <w:color w:val="auto"/>
                <w:szCs w:val="24"/>
                <w:highlight w:val="none"/>
                <w:lang w:val="en-US" w:eastAsia="zh-CN"/>
              </w:rPr>
              <w:t>00</w:t>
            </w:r>
            <w:r>
              <w:rPr>
                <w:rFonts w:hint="eastAsia" w:ascii="仿宋" w:hAnsi="仿宋" w:eastAsia="仿宋" w:cs="仿宋"/>
                <w:color w:val="auto"/>
                <w:szCs w:val="24"/>
                <w:highlight w:val="none"/>
              </w:rPr>
              <w:t>（北京时间）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检查投标文件的密封情况</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由监督人/公证机关/见证律师/投标人授权代表检查投标/投标文件密封情况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中标服务费收取标准</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中标人须在中标公告发出后5个工作日内向采购代理机构缴纳中标服务费，中标服务费以中标价格为计费基础，收费标准参照“计价格[2002]1980号”规定</w:t>
            </w:r>
            <w:r>
              <w:rPr>
                <w:rFonts w:hint="eastAsia" w:ascii="仿宋" w:hAnsi="仿宋" w:cs="仿宋"/>
                <w:color w:val="auto"/>
                <w:szCs w:val="24"/>
                <w:highlight w:val="none"/>
                <w:lang w:val="en-US" w:eastAsia="zh-CN"/>
              </w:rPr>
              <w:t>70</w:t>
            </w:r>
            <w:r>
              <w:rPr>
                <w:rFonts w:hint="eastAsia" w:ascii="仿宋" w:hAnsi="仿宋" w:eastAsia="仿宋" w:cs="仿宋"/>
                <w:color w:val="auto"/>
                <w:szCs w:val="24"/>
                <w:highlight w:val="none"/>
              </w:rPr>
              <w:t>%收取。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见证律师费的收费标准</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中标人按中标金额1‰向公证机关/见证律师交纳公证费/见证律师费，不足500元，按500元收取。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技术部分评审依据内容</w:t>
            </w:r>
          </w:p>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（综合对比）</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1、制造商公开发布的印刷资料或彩页等；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2、检测机构出具的检测报告；</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3、技术响应表；</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4、投标详细技术描述、建设方案等；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招标文件解释权</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本招标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同一品牌产品相关问题</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提供相同品牌产品且通过资格审查、符合性审查的不同投标人参加同一合同项下投标的，按一家投标人计算，评审后得分最高的同品牌投标人获得中标人推荐资格。评审得分相同的，按投标报价由低到高顺序排列，得分且投标报价相同的，按技术指标优劣顺序排列。</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2、非单一产品采购项目中核心产品的确定原则：</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（1）第八部分技术要求及说明中规定核心产品的，以核心产品参照上述第1款的规定。</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（2）第八部分技术要求及说明中未规定核心产品的，多家代理商所投同一品牌产品价格总和均超过该项目投标总价50%的，适用于上述第1款的规定。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其他</w:t>
            </w:r>
          </w:p>
        </w:tc>
        <w:tc>
          <w:tcPr>
            <w:tcW w:w="3795"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1、中标人所有投标文件的所有权（包括知识产权）归采购人所有。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2、采购人提供的相关资料只供本次招标活动使用，各投标人应承担保密义务，不得擅自拷贝和传播。</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3、各投标人的调研费、差旅费及所获补偿金、奖金的税费自理。</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4、所有提交成果一律不退回。</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5、参加本次投标的单位均被视为承认本招标文件的所有条款，并按招标文件规定条款完成投标任务和活动。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highlight w:val="none"/>
                <w:lang w:val="en-GB"/>
              </w:rPr>
            </w:pPr>
            <w:r>
              <w:rPr>
                <w:rFonts w:hint="eastAsia" w:ascii="仿宋" w:hAnsi="仿宋" w:eastAsia="仿宋" w:cs="仿宋"/>
                <w:color w:val="auto"/>
                <w:highlight w:val="none"/>
                <w:lang w:val="en-GB"/>
              </w:rPr>
              <w:t>投标注意事项</w:t>
            </w:r>
          </w:p>
        </w:tc>
        <w:tc>
          <w:tcPr>
            <w:tcW w:w="3795" w:type="pct"/>
            <w:vAlign w:val="center"/>
          </w:tcPr>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1、投标人须于报名截止前在中国山东政府采购网（http://www.ccgp-shandong.gov.cn/sdgp2017/site/index.jsp）注册并报名成功。</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根据财库[2016]125号的相关规定，本次招投标活动将对相关主体信用记录进行查询，对列入失信被执行人、税收违法黑名单、政府采购严重违法失信行为记录名单及其他不符合《中华人民共和国政府采购法》第二十二条规定条件的投标人，拒绝其参与政府采购活动。投标人信用记录信息以信用信息查询记录和证据为准【信用查询渠道：“信用中国”网站（www.creditchina.gov.cn）、“信用中国（山东）”网站（www.creditsd.gov.cn）、 “中国政府采购网”网站（www.ccgp.gov.cn）】</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自招标公告发布之日起至投标文件递交截止时间止，出具相关证明材料，查询时须将查询网页、内容进行截图或拍照，以作证据留存，截图或拍照内容要完整清晰，应包括网站网址、查询内容、电脑截屏时间。</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（2）注册地非山东省的投标人，须提供注册地省份相关网站查询记录。</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3、参与投标活动的投标人应当遵循公平竞争和诚实信用的原则，任何违反公平竞争和诚实信用的行为都将导致投标无效，且依据《中华人民共和国政府采购法》第七十七条进行处罚。</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4、根据财库〔2015〕135号的相关规定，本次采购将对中标人的投标报价明细表进行公示，请投标人务必认真填写，如因填写有误等投标人自身原因引起的质疑等产生的一切后果由投标人承担。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9"/>
              <w:adjustRightInd w:val="0"/>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6、本项目实行资格后审，报名成功不代表开标结束后通过资格审查。</w:t>
            </w:r>
          </w:p>
        </w:tc>
      </w:tr>
    </w:tbl>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说明：本表内容与招标文件其他部分内容不一致的，应当以本表内容为准。</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ind w:firstLine="0" w:firstLineChars="0"/>
        <w:jc w:val="center"/>
        <w:outlineLvl w:val="0"/>
        <w:rPr>
          <w:rFonts w:hint="eastAsia" w:ascii="仿宋" w:hAnsi="仿宋" w:eastAsia="仿宋" w:cs="仿宋"/>
          <w:b/>
          <w:color w:val="auto"/>
          <w:sz w:val="32"/>
          <w:szCs w:val="32"/>
          <w:highlight w:val="none"/>
        </w:rPr>
      </w:pPr>
      <w:bookmarkStart w:id="5" w:name="_Toc106784520"/>
      <w:bookmarkStart w:id="6" w:name="_Toc106784593"/>
      <w:r>
        <w:rPr>
          <w:rFonts w:hint="eastAsia" w:ascii="仿宋" w:hAnsi="仿宋" w:eastAsia="仿宋" w:cs="仿宋"/>
          <w:b/>
          <w:color w:val="auto"/>
          <w:sz w:val="32"/>
          <w:szCs w:val="32"/>
          <w:highlight w:val="none"/>
        </w:rPr>
        <w:t>第七部分评标方法和评分细则</w:t>
      </w:r>
      <w:bookmarkEnd w:id="5"/>
      <w:bookmarkEnd w:id="6"/>
    </w:p>
    <w:p>
      <w:pPr>
        <w:ind w:firstLine="562"/>
        <w:outlineLvl w:val="1"/>
        <w:rPr>
          <w:rFonts w:hint="eastAsia" w:ascii="仿宋" w:hAnsi="仿宋" w:eastAsia="仿宋" w:cs="仿宋"/>
          <w:b/>
          <w:color w:val="auto"/>
          <w:sz w:val="28"/>
          <w:szCs w:val="28"/>
          <w:highlight w:val="none"/>
        </w:rPr>
      </w:pPr>
      <w:bookmarkStart w:id="7" w:name="_Toc106784594"/>
      <w:bookmarkStart w:id="8" w:name="_Toc106784521"/>
      <w:bookmarkStart w:id="9" w:name="_Toc69110205"/>
      <w:r>
        <w:rPr>
          <w:rFonts w:hint="eastAsia" w:ascii="仿宋" w:hAnsi="仿宋" w:eastAsia="仿宋" w:cs="仿宋"/>
          <w:b/>
          <w:color w:val="auto"/>
          <w:sz w:val="28"/>
          <w:szCs w:val="28"/>
          <w:highlight w:val="none"/>
        </w:rPr>
        <w:t>一、评标方法</w:t>
      </w:r>
      <w:bookmarkEnd w:id="7"/>
      <w:bookmarkEnd w:id="8"/>
      <w:bookmarkEnd w:id="9"/>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本项目采用综合评分法，投标文件满足招标文件全部实质性要求且按照评审因素的量化指标评审得分最高的投标人为中标候选人。每一投标人的最终得分为所有评委评分的算术平均值。经采购人授权，本项目由评标委员会直接确定中标人，综合评分得分最高的投标人为中标人。得分相同的，报价较低的一方为中标人。得分且报价相同的，技术指标较优的一方为中标人。投标人的综合得分分值计算保留到小数点后两位数，第三位数四舍五入；当出现分值相同情况时，则报价低者优先。</w:t>
      </w:r>
    </w:p>
    <w:p>
      <w:pPr>
        <w:ind w:firstLine="562"/>
        <w:outlineLvl w:val="1"/>
        <w:rPr>
          <w:rFonts w:hint="default" w:ascii="仿宋" w:hAnsi="仿宋" w:eastAsia="仿宋" w:cs="仿宋"/>
          <w:b/>
          <w:color w:val="auto"/>
          <w:sz w:val="28"/>
          <w:szCs w:val="28"/>
          <w:highlight w:val="none"/>
          <w:lang w:val="en-US" w:eastAsia="zh-CN"/>
        </w:rPr>
      </w:pPr>
      <w:bookmarkStart w:id="10" w:name="_Toc106784595"/>
      <w:bookmarkStart w:id="11" w:name="_Toc69110206"/>
      <w:bookmarkStart w:id="12" w:name="_Toc106784522"/>
      <w:r>
        <w:rPr>
          <w:rFonts w:hint="eastAsia" w:ascii="仿宋" w:hAnsi="仿宋" w:eastAsia="仿宋" w:cs="仿宋"/>
          <w:b/>
          <w:color w:val="auto"/>
          <w:sz w:val="28"/>
          <w:szCs w:val="28"/>
          <w:highlight w:val="none"/>
        </w:rPr>
        <w:t>二、</w:t>
      </w:r>
      <w:bookmarkEnd w:id="10"/>
      <w:bookmarkEnd w:id="11"/>
      <w:bookmarkEnd w:id="12"/>
      <w:r>
        <w:rPr>
          <w:rFonts w:hint="eastAsia" w:ascii="仿宋" w:hAnsi="仿宋" w:eastAsia="仿宋" w:cs="仿宋"/>
          <w:b/>
          <w:color w:val="auto"/>
          <w:sz w:val="28"/>
          <w:szCs w:val="28"/>
          <w:highlight w:val="none"/>
        </w:rPr>
        <w:t>评分细则</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1"/>
              <w:shd w:val="clear"/>
              <w:spacing w:after="0" w:line="480" w:lineRule="exact"/>
              <w:ind w:left="0" w:leftChars="0" w:firstLine="0" w:firstLineChars="0"/>
              <w:jc w:val="center"/>
              <w:rPr>
                <w:rFonts w:hint="eastAsia" w:ascii="仿宋" w:hAnsi="仿宋" w:eastAsia="仿宋" w:cs="仿宋"/>
                <w:bCs/>
                <w:color w:val="auto"/>
                <w:sz w:val="24"/>
                <w:highlight w:val="none"/>
              </w:rPr>
            </w:pPr>
            <w:bookmarkStart w:id="18" w:name="_GoBack"/>
            <w:bookmarkStart w:id="13" w:name="_Toc69110207"/>
            <w:bookmarkStart w:id="14" w:name="_Toc106784596"/>
            <w:bookmarkStart w:id="15" w:name="_Toc106784523"/>
            <w:r>
              <w:rPr>
                <w:rFonts w:hint="eastAsia" w:ascii="仿宋" w:hAnsi="仿宋" w:eastAsia="仿宋" w:cs="仿宋"/>
                <w:bCs/>
                <w:color w:val="auto"/>
                <w:sz w:val="24"/>
                <w:highlight w:val="none"/>
              </w:rPr>
              <w:t>投标报价</w:t>
            </w:r>
          </w:p>
          <w:p>
            <w:pPr>
              <w:pStyle w:val="11"/>
              <w:shd w:val="clear"/>
              <w:spacing w:after="0" w:line="48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30分</w:t>
            </w:r>
          </w:p>
        </w:tc>
        <w:tc>
          <w:tcPr>
            <w:tcW w:w="7512" w:type="dxa"/>
            <w:noWrap w:val="0"/>
            <w:vAlign w:val="center"/>
          </w:tcPr>
          <w:p>
            <w:pPr>
              <w:pStyle w:val="11"/>
              <w:shd w:val="clear"/>
              <w:spacing w:after="0" w:line="480" w:lineRule="exact"/>
              <w:ind w:left="0" w:leftChars="0" w:firstLine="0" w:firstLineChars="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以满足招标文件要求且投标价格最低的投标报价为评标基准价，其价格分为满分30分，其他投标人的价格分按照下列公式计算：投标报价得分=（评标基准价/投标报价）×30%×100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1741" w:type="dxa"/>
            <w:noWrap w:val="0"/>
            <w:vAlign w:val="center"/>
          </w:tcPr>
          <w:p>
            <w:pPr>
              <w:pStyle w:val="11"/>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对采购文件技术规格要求的响应程度</w:t>
            </w:r>
            <w:r>
              <w:rPr>
                <w:rFonts w:hint="eastAsia" w:ascii="仿宋" w:hAnsi="仿宋" w:cs="仿宋"/>
                <w:bCs/>
                <w:color w:val="auto"/>
                <w:sz w:val="24"/>
                <w:highlight w:val="none"/>
                <w:lang w:val="en-US" w:eastAsia="zh-CN"/>
              </w:rPr>
              <w:t>34</w:t>
            </w:r>
            <w:r>
              <w:rPr>
                <w:rFonts w:hint="eastAsia" w:ascii="仿宋" w:hAnsi="仿宋" w:eastAsia="仿宋" w:cs="仿宋"/>
                <w:bCs/>
                <w:color w:val="auto"/>
                <w:sz w:val="24"/>
                <w:highlight w:val="none"/>
              </w:rPr>
              <w:t>分</w:t>
            </w:r>
          </w:p>
        </w:tc>
        <w:tc>
          <w:tcPr>
            <w:tcW w:w="7512" w:type="dxa"/>
            <w:noWrap w:val="0"/>
            <w:vAlign w:val="center"/>
          </w:tcPr>
          <w:p>
            <w:pPr>
              <w:pStyle w:val="11"/>
              <w:shd w:val="clear"/>
              <w:spacing w:after="0" w:line="480" w:lineRule="exact"/>
              <w:ind w:left="0" w:leftChars="0" w:firstLine="0" w:firstLineChars="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参数全部满足，得</w:t>
            </w:r>
            <w:r>
              <w:rPr>
                <w:rFonts w:hint="eastAsia" w:ascii="仿宋" w:hAnsi="仿宋" w:cs="仿宋"/>
                <w:bCs/>
                <w:color w:val="auto"/>
                <w:sz w:val="24"/>
                <w:highlight w:val="none"/>
                <w:lang w:val="en-US" w:eastAsia="zh-CN"/>
              </w:rPr>
              <w:t>34</w:t>
            </w:r>
            <w:r>
              <w:rPr>
                <w:rFonts w:hint="eastAsia" w:ascii="仿宋" w:hAnsi="仿宋" w:eastAsia="仿宋" w:cs="仿宋"/>
                <w:bCs/>
                <w:color w:val="auto"/>
                <w:sz w:val="24"/>
                <w:highlight w:val="none"/>
              </w:rPr>
              <w:t>分；每存在一项负偏离减</w:t>
            </w:r>
            <w:r>
              <w:rPr>
                <w:rFonts w:hint="eastAsia" w:ascii="仿宋" w:hAnsi="仿宋" w:cs="仿宋"/>
                <w:bCs/>
                <w:color w:val="auto"/>
                <w:sz w:val="24"/>
                <w:highlight w:val="none"/>
                <w:lang w:val="en-US" w:eastAsia="zh-CN"/>
              </w:rPr>
              <w:t>2</w:t>
            </w:r>
            <w:r>
              <w:rPr>
                <w:rFonts w:hint="eastAsia" w:ascii="仿宋" w:hAnsi="仿宋" w:eastAsia="仿宋" w:cs="仿宋"/>
                <w:bCs/>
                <w:color w:val="auto"/>
                <w:sz w:val="24"/>
                <w:highlight w:val="none"/>
              </w:rPr>
              <w:t>分，投标文件负偏离达到</w:t>
            </w:r>
            <w:r>
              <w:rPr>
                <w:rFonts w:hint="eastAsia" w:ascii="仿宋" w:hAnsi="仿宋" w:eastAsia="仿宋" w:cs="仿宋"/>
                <w:bCs/>
                <w:color w:val="auto"/>
                <w:sz w:val="24"/>
                <w:highlight w:val="none"/>
                <w:lang w:val="en-US" w:eastAsia="zh-CN"/>
              </w:rPr>
              <w:t>1</w:t>
            </w:r>
            <w:r>
              <w:rPr>
                <w:rFonts w:hint="eastAsia" w:ascii="仿宋" w:hAnsi="仿宋" w:cs="仿宋"/>
                <w:bCs/>
                <w:color w:val="auto"/>
                <w:sz w:val="24"/>
                <w:highlight w:val="none"/>
                <w:lang w:val="en-US" w:eastAsia="zh-CN"/>
              </w:rPr>
              <w:t>5</w:t>
            </w:r>
            <w:r>
              <w:rPr>
                <w:rFonts w:hint="eastAsia" w:ascii="仿宋" w:hAnsi="仿宋" w:eastAsia="仿宋" w:cs="仿宋"/>
                <w:bCs/>
                <w:color w:val="auto"/>
                <w:sz w:val="24"/>
                <w:highlight w:val="none"/>
              </w:rPr>
              <w:t>条及以上的，评标委员会可视为其投标文件不满足招标文件技术要求，本项得0分。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1"/>
              <w:shd w:val="clear"/>
              <w:spacing w:after="0" w:line="480" w:lineRule="exact"/>
              <w:ind w:left="0" w:leftChars="0" w:firstLine="0" w:firstLineChars="0"/>
              <w:jc w:val="center"/>
              <w:rPr>
                <w:rFonts w:hint="default" w:ascii="仿宋" w:hAnsi="仿宋" w:eastAsia="仿宋" w:cs="仿宋"/>
                <w:bCs/>
                <w:color w:val="auto"/>
                <w:sz w:val="24"/>
                <w:highlight w:val="none"/>
                <w:lang w:val="en-US" w:eastAsia="zh-CN"/>
              </w:rPr>
            </w:pPr>
            <w:r>
              <w:rPr>
                <w:rFonts w:hint="default" w:ascii="仿宋" w:hAnsi="仿宋" w:eastAsia="仿宋" w:cs="仿宋"/>
                <w:bCs/>
                <w:color w:val="auto"/>
                <w:sz w:val="24"/>
                <w:highlight w:val="none"/>
                <w:lang w:val="en-US" w:eastAsia="zh-CN"/>
              </w:rPr>
              <w:t>实施方案</w:t>
            </w:r>
          </w:p>
          <w:p>
            <w:pPr>
              <w:pStyle w:val="11"/>
              <w:shd w:val="clear"/>
              <w:spacing w:after="0" w:line="480" w:lineRule="exact"/>
              <w:ind w:left="0" w:leftChars="0" w:firstLine="0" w:firstLineChars="0"/>
              <w:jc w:val="center"/>
              <w:rPr>
                <w:rFonts w:hint="default" w:ascii="仿宋" w:hAnsi="仿宋" w:eastAsia="仿宋" w:cs="仿宋"/>
                <w:bCs/>
                <w:color w:val="auto"/>
                <w:sz w:val="24"/>
                <w:highlight w:val="none"/>
                <w:lang w:val="en-US" w:eastAsia="zh-CN"/>
              </w:rPr>
            </w:pPr>
            <w:r>
              <w:rPr>
                <w:rFonts w:hint="default" w:ascii="仿宋" w:hAnsi="仿宋" w:eastAsia="仿宋" w:cs="仿宋"/>
                <w:bCs/>
                <w:color w:val="auto"/>
                <w:sz w:val="24"/>
                <w:highlight w:val="none"/>
                <w:lang w:val="en-US" w:eastAsia="zh-CN"/>
              </w:rPr>
              <w:t>6分</w:t>
            </w:r>
          </w:p>
        </w:tc>
        <w:tc>
          <w:tcPr>
            <w:tcW w:w="7512" w:type="dxa"/>
            <w:noWrap w:val="0"/>
            <w:vAlign w:val="center"/>
          </w:tcPr>
          <w:p>
            <w:pPr>
              <w:pStyle w:val="11"/>
              <w:shd w:val="clear"/>
              <w:spacing w:after="0" w:line="480" w:lineRule="exact"/>
              <w:ind w:left="0" w:leftChars="0" w:firstLine="0" w:firstLineChars="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对供应商提供的具体实施方案进行评审，根据项目实施进度、质量保证措施等进行综合评审，每项完全满足得3分，满分6分每有一项不足扣1分。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1"/>
              <w:shd w:val="clear"/>
              <w:spacing w:after="0" w:line="480" w:lineRule="exact"/>
              <w:ind w:left="0" w:leftChars="0" w:firstLine="0" w:firstLineChars="0"/>
              <w:jc w:val="both"/>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存储、运输及应急方案</w:t>
            </w:r>
            <w:r>
              <w:rPr>
                <w:rFonts w:hint="eastAsia" w:ascii="仿宋" w:hAnsi="仿宋" w:cs="仿宋"/>
                <w:bCs/>
                <w:color w:val="auto"/>
                <w:sz w:val="24"/>
                <w:highlight w:val="none"/>
                <w:lang w:val="en-US" w:eastAsia="zh-CN"/>
              </w:rPr>
              <w:t>12</w:t>
            </w:r>
            <w:r>
              <w:rPr>
                <w:rFonts w:hint="eastAsia" w:ascii="仿宋" w:hAnsi="仿宋" w:eastAsia="仿宋" w:cs="仿宋"/>
                <w:bCs/>
                <w:color w:val="auto"/>
                <w:sz w:val="24"/>
                <w:highlight w:val="none"/>
              </w:rPr>
              <w:t>分</w:t>
            </w:r>
          </w:p>
        </w:tc>
        <w:tc>
          <w:tcPr>
            <w:tcW w:w="7512" w:type="dxa"/>
            <w:noWrap w:val="0"/>
            <w:vAlign w:val="center"/>
          </w:tcPr>
          <w:p>
            <w:pPr>
              <w:pStyle w:val="11"/>
              <w:shd w:val="clear"/>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供应商或制造商有详细、符合项目实际的需求的运输、存储方案</w:t>
            </w:r>
            <w:r>
              <w:rPr>
                <w:rFonts w:hint="eastAsia" w:ascii="仿宋" w:hAnsi="仿宋" w:eastAsia="仿宋" w:cs="仿宋"/>
                <w:bCs/>
                <w:color w:val="auto"/>
                <w:sz w:val="24"/>
                <w:highlight w:val="none"/>
                <w:lang w:eastAsia="zh-CN"/>
              </w:rPr>
              <w:t>及应急方案的</w:t>
            </w:r>
            <w:r>
              <w:rPr>
                <w:rFonts w:hint="eastAsia" w:ascii="仿宋" w:hAnsi="仿宋" w:eastAsia="仿宋" w:cs="仿宋"/>
                <w:bCs/>
                <w:color w:val="auto"/>
                <w:sz w:val="24"/>
                <w:highlight w:val="none"/>
              </w:rPr>
              <w:t>等综合评分</w:t>
            </w:r>
            <w:r>
              <w:rPr>
                <w:rFonts w:hint="eastAsia" w:ascii="仿宋" w:hAnsi="仿宋" w:eastAsia="仿宋" w:cs="仿宋"/>
                <w:bCs/>
                <w:color w:val="auto"/>
                <w:sz w:val="24"/>
                <w:highlight w:val="none"/>
                <w:lang w:eastAsia="zh-CN"/>
              </w:rPr>
              <w:t>。运输、储存方案及应急方案完全满足项目需求，切实可行，具有针对性的得</w:t>
            </w:r>
            <w:r>
              <w:rPr>
                <w:rFonts w:hint="eastAsia" w:ascii="仿宋" w:hAnsi="仿宋" w:cs="仿宋"/>
                <w:bCs/>
                <w:color w:val="auto"/>
                <w:sz w:val="24"/>
                <w:highlight w:val="none"/>
                <w:lang w:val="en-US" w:eastAsia="zh-CN"/>
              </w:rPr>
              <w:t>12</w:t>
            </w:r>
            <w:r>
              <w:rPr>
                <w:rFonts w:hint="eastAsia" w:ascii="仿宋" w:hAnsi="仿宋" w:eastAsia="仿宋" w:cs="仿宋"/>
                <w:bCs/>
                <w:color w:val="auto"/>
                <w:sz w:val="24"/>
                <w:highlight w:val="none"/>
                <w:lang w:val="en-US" w:eastAsia="zh-CN"/>
              </w:rPr>
              <w:t>分，如</w:t>
            </w:r>
            <w:r>
              <w:rPr>
                <w:rFonts w:hint="eastAsia" w:ascii="仿宋" w:hAnsi="仿宋" w:eastAsia="仿宋" w:cs="仿宋"/>
                <w:bCs/>
                <w:color w:val="auto"/>
                <w:sz w:val="24"/>
                <w:highlight w:val="none"/>
                <w:lang w:eastAsia="zh-CN"/>
              </w:rPr>
              <w:t>运输、储存方案及应急方案没有针对性、不切实际等，</w:t>
            </w:r>
            <w:r>
              <w:rPr>
                <w:rFonts w:hint="eastAsia" w:ascii="仿宋" w:hAnsi="仿宋" w:eastAsia="仿宋" w:cs="仿宋"/>
                <w:bCs/>
                <w:color w:val="auto"/>
                <w:sz w:val="24"/>
                <w:highlight w:val="none"/>
              </w:rPr>
              <w:t>每存在一项扣1分，对于偏差内容较大之处，每存在一项扣</w:t>
            </w:r>
            <w:r>
              <w:rPr>
                <w:rFonts w:hint="eastAsia" w:ascii="仿宋" w:hAnsi="仿宋" w:cs="仿宋"/>
                <w:bCs/>
                <w:color w:val="auto"/>
                <w:sz w:val="24"/>
                <w:highlight w:val="none"/>
                <w:lang w:val="en-US" w:eastAsia="zh-CN"/>
              </w:rPr>
              <w:t>4</w:t>
            </w:r>
            <w:r>
              <w:rPr>
                <w:rFonts w:hint="eastAsia" w:ascii="仿宋" w:hAnsi="仿宋" w:eastAsia="仿宋" w:cs="仿宋"/>
                <w:bCs/>
                <w:color w:val="auto"/>
                <w:sz w:val="24"/>
                <w:highlight w:val="none"/>
              </w:rPr>
              <w:t>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1"/>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服务支持</w:t>
            </w:r>
          </w:p>
          <w:p>
            <w:pPr>
              <w:pStyle w:val="11"/>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15</w:t>
            </w:r>
            <w:r>
              <w:rPr>
                <w:rFonts w:hint="eastAsia" w:ascii="仿宋" w:hAnsi="仿宋" w:eastAsia="仿宋" w:cs="仿宋"/>
                <w:bCs/>
                <w:color w:val="auto"/>
                <w:sz w:val="24"/>
                <w:highlight w:val="none"/>
              </w:rPr>
              <w:t>分</w:t>
            </w:r>
          </w:p>
        </w:tc>
        <w:tc>
          <w:tcPr>
            <w:tcW w:w="7512" w:type="dxa"/>
            <w:noWrap w:val="0"/>
            <w:vAlign w:val="top"/>
          </w:tcPr>
          <w:p>
            <w:pPr>
              <w:shd w:val="clear"/>
              <w:tabs>
                <w:tab w:val="left" w:pos="7215"/>
              </w:tabs>
              <w:spacing w:line="360" w:lineRule="auto"/>
              <w:ind w:left="0" w:leftChars="0" w:firstLine="0" w:firstLineChars="0"/>
              <w:jc w:val="left"/>
              <w:rPr>
                <w:rFonts w:hint="eastAsia" w:ascii="仿宋" w:hAnsi="仿宋" w:eastAsia="仿宋" w:cs="仿宋"/>
                <w:bCs/>
                <w:color w:val="auto"/>
                <w:sz w:val="24"/>
                <w:highlight w:val="none"/>
                <w:lang w:val="en-US" w:eastAsia="zh-CN"/>
              </w:rPr>
            </w:pPr>
            <w:r>
              <w:rPr>
                <w:rFonts w:hint="eastAsia" w:ascii="仿宋" w:hAnsi="仿宋" w:eastAsia="仿宋" w:cs="仿宋"/>
                <w:color w:val="auto"/>
                <w:sz w:val="24"/>
                <w:szCs w:val="24"/>
                <w:highlight w:val="none"/>
              </w:rPr>
              <w:t>对投标人①服务机构设置、②服务方案、③服务人员的配置、④响应时间及响应程度，⑤解决问题的能力和紧急故障处理预案等进行综合评价，以上五项每项完全满足招标文件要求得3分，共15分。其中服务机构设置不合理、服务方案考虑不周全、人员配置不合理响应不够充分、解决问题能力较弱，以上内容每存在一项扣1分，对于偏差内容较大之处，每存在一项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1"/>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业绩</w:t>
            </w:r>
          </w:p>
          <w:p>
            <w:pPr>
              <w:pStyle w:val="11"/>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分</w:t>
            </w:r>
          </w:p>
        </w:tc>
        <w:tc>
          <w:tcPr>
            <w:tcW w:w="7512" w:type="dxa"/>
            <w:noWrap w:val="0"/>
            <w:vAlign w:val="center"/>
          </w:tcPr>
          <w:p>
            <w:pPr>
              <w:pStyle w:val="11"/>
              <w:shd w:val="clear"/>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根据供应商所投产品近三年（20</w:t>
            </w:r>
            <w:r>
              <w:rPr>
                <w:rFonts w:hint="eastAsia" w:ascii="仿宋" w:hAnsi="仿宋" w:cs="仿宋"/>
                <w:bCs/>
                <w:color w:val="auto"/>
                <w:sz w:val="24"/>
                <w:highlight w:val="none"/>
                <w:lang w:val="en-US" w:eastAsia="zh-CN"/>
              </w:rPr>
              <w:t>20</w:t>
            </w:r>
            <w:r>
              <w:rPr>
                <w:rFonts w:hint="eastAsia" w:ascii="仿宋" w:hAnsi="仿宋" w:eastAsia="仿宋" w:cs="仿宋"/>
                <w:bCs/>
                <w:color w:val="auto"/>
                <w:sz w:val="24"/>
                <w:highlight w:val="none"/>
              </w:rPr>
              <w:t>年</w:t>
            </w:r>
            <w:r>
              <w:rPr>
                <w:rFonts w:hint="eastAsia" w:ascii="仿宋" w:hAnsi="仿宋" w:cs="仿宋"/>
                <w:bCs/>
                <w:color w:val="auto"/>
                <w:sz w:val="24"/>
                <w:highlight w:val="none"/>
                <w:lang w:val="en-US" w:eastAsia="zh-CN"/>
              </w:rPr>
              <w:t>6</w:t>
            </w:r>
            <w:r>
              <w:rPr>
                <w:rFonts w:hint="eastAsia" w:ascii="仿宋" w:hAnsi="仿宋" w:eastAsia="仿宋" w:cs="仿宋"/>
                <w:bCs/>
                <w:color w:val="auto"/>
                <w:sz w:val="24"/>
                <w:highlight w:val="none"/>
              </w:rPr>
              <w:t>月至投标截止日止，以合同签订时间为准）完成同类项目的业绩，每提供1项业绩得1分，最高得</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分。注：1.供应商需提供中标合同</w:t>
            </w:r>
            <w:r>
              <w:rPr>
                <w:rFonts w:hint="eastAsia" w:ascii="仿宋" w:hAnsi="仿宋" w:eastAsia="仿宋" w:cs="仿宋"/>
                <w:bCs/>
                <w:color w:val="auto"/>
                <w:sz w:val="24"/>
                <w:highlight w:val="none"/>
                <w:lang w:eastAsia="zh-CN"/>
              </w:rPr>
              <w:t>复印件</w:t>
            </w:r>
            <w:r>
              <w:rPr>
                <w:rFonts w:hint="eastAsia" w:ascii="仿宋" w:hAnsi="仿宋" w:eastAsia="仿宋" w:cs="仿宋"/>
                <w:bCs/>
                <w:color w:val="auto"/>
                <w:sz w:val="24"/>
                <w:highlight w:val="none"/>
              </w:rPr>
              <w:t>，否则业绩不予认可。</w:t>
            </w:r>
          </w:p>
          <w:p>
            <w:pPr>
              <w:pStyle w:val="11"/>
              <w:shd w:val="clear"/>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2.需为投标产品销售至最终使用单位的业绩合同。</w:t>
            </w:r>
          </w:p>
        </w:tc>
      </w:tr>
      <w:bookmarkEnd w:id="18"/>
    </w:tbl>
    <w:p>
      <w:pPr>
        <w:ind w:left="0" w:leftChars="0" w:firstLine="281" w:firstLineChars="100"/>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三、初步审查属于无效投标的条款</w:t>
      </w:r>
      <w:bookmarkEnd w:id="13"/>
      <w:bookmarkEnd w:id="14"/>
      <w:bookmarkEnd w:id="15"/>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★投标文件有以下情况之一的，在资格性和符合性审查时按无效投标处理，不得进入详细评审阶段：</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1、不具备招标文件中规定的资格要求的；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2、未从采购代理机构报名并取得招标文件的；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3、投标文件未按招标文件规定要求编制、签署、盖章的；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4、投标有效期不满足招标文件要求的；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5、投标文件含有采购人不能接受的附加条件的；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6、未按招标文件要求报价的；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7、报价超过招标文件中规定的预算金额或者最高限价的；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8、未经许可，以进口产品参与投标的；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9、投标文件没有对招标文件的实质性要求部分（包含投标人须知附表要求部分）和条件或标注★部分作出响应或响应不全面、不规范的；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10、有重大偏离且采购人不能接受的；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11、不提供招标文件要求的任何形式技术资料的；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12、同一投标人提交两个以上不同的投标文件或者投标报价，但招标文件要求提交备选方案的除外；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13、法律、法规和招标文件规定的其他无效情形。</w:t>
      </w:r>
    </w:p>
    <w:p>
      <w:pPr>
        <w:rPr>
          <w:rFonts w:hint="eastAsia" w:ascii="仿宋" w:hAnsi="仿宋" w:eastAsia="仿宋" w:cs="仿宋"/>
          <w:b/>
          <w:color w:val="auto"/>
          <w:sz w:val="32"/>
          <w:szCs w:val="32"/>
          <w:highlight w:val="none"/>
        </w:rPr>
      </w:pPr>
      <w:bookmarkStart w:id="16" w:name="_Toc106784597"/>
      <w:bookmarkStart w:id="17" w:name="_Toc106784524"/>
      <w:r>
        <w:rPr>
          <w:rFonts w:hint="eastAsia" w:ascii="仿宋" w:hAnsi="仿宋" w:eastAsia="仿宋" w:cs="仿宋"/>
          <w:b/>
          <w:color w:val="auto"/>
          <w:sz w:val="32"/>
          <w:szCs w:val="32"/>
          <w:highlight w:val="none"/>
        </w:rPr>
        <w:br w:type="page"/>
      </w:r>
    </w:p>
    <w:p>
      <w:pPr>
        <w:ind w:firstLine="0" w:firstLineChars="0"/>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第八部分技术要求及说明</w:t>
      </w:r>
      <w:bookmarkEnd w:id="16"/>
      <w:bookmarkEnd w:id="17"/>
    </w:p>
    <w:p>
      <w:pPr>
        <w:pStyle w:val="33"/>
        <w:spacing w:line="360" w:lineRule="auto"/>
        <w:ind w:firstLine="200" w:firstLineChars="83"/>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一、技术参数要</w:t>
      </w:r>
      <w:r>
        <w:rPr>
          <w:rFonts w:hint="eastAsia" w:ascii="仿宋" w:hAnsi="仿宋" w:eastAsia="仿宋" w:cs="仿宋"/>
          <w:b/>
          <w:color w:val="auto"/>
          <w:szCs w:val="24"/>
          <w:highlight w:val="none"/>
          <w:lang w:eastAsia="zh-CN"/>
        </w:rPr>
        <w:t>求</w:t>
      </w:r>
    </w:p>
    <w:p>
      <w:pPr>
        <w:widowControl/>
        <w:spacing w:line="360" w:lineRule="auto"/>
        <w:jc w:val="left"/>
        <w:outlineLvl w:val="1"/>
        <w:rPr>
          <w:rFonts w:hint="eastAsia" w:ascii="宋体" w:hAnsi="宋体" w:eastAsia="仿宋" w:cs="宋体"/>
          <w:b/>
          <w:bCs/>
          <w:sz w:val="24"/>
          <w:szCs w:val="24"/>
        </w:rPr>
      </w:pPr>
      <w:r>
        <w:rPr>
          <w:rFonts w:hint="eastAsia" w:ascii="宋体" w:hAnsi="宋体" w:eastAsia="仿宋" w:cs="宋体"/>
          <w:b/>
          <w:bCs/>
          <w:sz w:val="24"/>
          <w:szCs w:val="24"/>
        </w:rPr>
        <w:t>A包：预算</w:t>
      </w:r>
      <w:r>
        <w:rPr>
          <w:rFonts w:hint="eastAsia" w:ascii="宋体" w:hAnsi="宋体" w:cs="宋体"/>
          <w:b/>
          <w:bCs/>
          <w:sz w:val="24"/>
          <w:szCs w:val="24"/>
          <w:lang w:val="en-US" w:eastAsia="zh-CN"/>
        </w:rPr>
        <w:t>40</w:t>
      </w:r>
      <w:r>
        <w:rPr>
          <w:rFonts w:hint="eastAsia" w:ascii="宋体" w:hAnsi="宋体" w:eastAsia="仿宋" w:cs="宋体"/>
          <w:b/>
          <w:bCs/>
          <w:sz w:val="24"/>
          <w:szCs w:val="24"/>
        </w:rPr>
        <w:t>万元</w:t>
      </w:r>
    </w:p>
    <w:tbl>
      <w:tblPr>
        <w:tblStyle w:val="23"/>
        <w:tblW w:w="467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9"/>
        <w:gridCol w:w="4603"/>
        <w:gridCol w:w="678"/>
        <w:gridCol w:w="671"/>
        <w:gridCol w:w="26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9"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1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 Norcantharidin</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 mg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0.1-10ul短枪头</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1000个/包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0.2ml透明PCR 8联排</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125条/盒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1.5mlEP管</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500个/盒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1.5ml尖底带锁扣连盖离心管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500个/包，10包/箱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1.5ml无RNA酶，DNA酶离心管</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500个/盒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10%PAGE 凝胶快速制备试剂盒</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100-1000UL吸嘴，蓝色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1000个/包，10包/箱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100mm细胞培养皿</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20个/包，500个/箱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12孔细胞培养板</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1个/包，100个/箱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15\50ML塑料可拆离心管架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28孔\个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TRIzolReagent</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15ml透明锥形离心管,8000g,灭菌,袋装</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袋</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25个/袋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1640</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1640培养基</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1mm 10孔梳子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5个/包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2.0ml可立内旋冻存管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50个/包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2×Taq Master Mix（Quick Load）</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1ml*5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50ml透明锥形离心管,9500g,灭菌,袋装</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袋</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25个/袋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50ml透明锥形离心管，绿盖</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25个/袋，20包/箱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5ml圆底连盖离心管</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200个/包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96孔分析板-可拆白色高结合力</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10个/包，200个/箱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96孔细胞培养板</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块</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val="0"/>
              <w:snapToGrid/>
              <w:ind w:firstLine="0" w:firstLineChars="0"/>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96孔细胞培养板</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1个/包，100个/箱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Annexin V-FITC细胞凋亡检测试剂盒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Anti-CD274 Antibody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Anti-ERK1/2 Antibody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ANTI-GAPDH Antibody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29</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Anti-MAPK14(P38) Antibody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Anti-NOS2/iNOS Antibody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ANTI-PTGS2 Antibody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Anti-SHH Antibody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33</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Anti-α-Tubulin Antibody (monoclonal, 10G10)</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Axyarep midi plasmid kits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BCA蛋白浓度测定试剂盒（250次）</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250t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BCA蛋白浓度测定试剂盒</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Cell Counting Kit-8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Cinobufagin</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 mg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39</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Cinobufagin[HY-N0421-10 mM * 1 mLin DMSO]</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 mM * 1 mLin DMSO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Countstar细胞计数板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val="0"/>
              <w:snapToGrid/>
              <w:ind w:firstLine="0" w:firstLineChars="0"/>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41</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DH5a 感受态细胞</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20×100μl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42</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Di-Methyl-Histone H3 (Lys4) (C64G9) Rabbit mAb</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 μl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DMEM/F12（含谷氨酰胺，含丙酮酸钠，含HEPES）</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DMEM</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45</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DMEM高糖 含丙酮酸钠</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DNA LADDER 2000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只</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47</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EastepTM Super Total RNA Extraction Kit</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ECL化学发光剂</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49</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EcoRV-HF（星选酶)</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4,000 units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First Strand cDNA Synthes</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51</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GANT 61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 mg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52</w:t>
            </w:r>
          </w:p>
        </w:tc>
        <w:tc>
          <w:tcPr>
            <w:tcW w:w="249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GLI2 Polyclonal Antibody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53</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GLI2-Specific Polyclonal Antibody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54</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Goat Anti-Rabbit IgG H&amp;L</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Heme Oxygenase 1 Rabbit mAb</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56</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HES1 Polyclonal Antibody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57</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Histone H3 (D1H2) XP? Rabbit mAb</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 μl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58</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HRP-羊抗兔IgG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0.1ml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59</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HRP-羊抗小鼠IgG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只</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Human IFN gamma ELISA Kit</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61</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Human IL-2 ELISA Kit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val="0"/>
              <w:snapToGrid/>
              <w:ind w:firstLine="0" w:firstLineChars="0"/>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62</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Immobilon Western 化学发光 HRP 底物</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 X 250 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63</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InVivoMab anti-mouse</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25MG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64</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Jagged-1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mg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65</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JNK Rabbit mAb</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Lipofectamine 3000</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67</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MM-102</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2mg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68</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Mono-Methyl-Histone H3 (Lys4) Antibody[Mono-Methyl-Histon</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 μl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69</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NovoNGS Concanavalin A-coated Magnetic Beads</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70</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NovoNGS? CUT&amp;Tag 3.0 High-Sensitivity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71</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NovoNGS? CUT&amp;Tag 3.0 High-Sensitivity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NovoStart? SYBR qPCR SuperMix Plus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1ml*5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73</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Nrf2 Polyclonal antibody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74</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Nrf2 Rabbit pAb</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75</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NRF2, NFE2L2 Polyclonal Antibody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76</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OPTI MEM</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77</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PageRuler Prestain Protein Ladder</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78</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PBS磷酸盐缓冲液2L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val="0"/>
              <w:snapToGrid/>
              <w:ind w:firstLine="0" w:firstLineChars="0"/>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79</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Phospho-JNK (Thr183/Tyr185) Rabbit pAb</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Phospho-JNK1/2/3 (Thr183+Tyr185) Antibody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81</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Phospho-NF-KB p65 (Ser536) Rabbit pAb</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82</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Phospho-p38 (Thr180/Tyr182) Rabbit pAb</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83</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Phospho-pan-AKT1/2/3 (Ser473) Antibody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84</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PPP1CA ELISA Kit (Human)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1x96 wells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85</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Protein A/G PLUS-Agarose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 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86</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PVDF膜26.5cm*3.75m 0.22u</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26.5cm*3.75m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87</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Q5? 超保真 DNA 聚合酶</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 units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88</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Recombinant Human IL-2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10ug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89</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RevertAid? First Strand cDNA Synthesis Kit, with DNase I</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 reactions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90</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RFect质粒DNA转染试剂盒</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0.5ml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91</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RIPA裂解液(强)</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92</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rProtein A/G MagPoly Beads</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93</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SAG</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mg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94</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SDS-PAGE蛋白上样缓冲液(变性)(5X)</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1mlx10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95</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SuperRed/GelRed</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袋</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transwell小室24孔 8um[</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块</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97</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Tri-Methyl-Histone H3 (Lys4) (C42D8) Rabbit mAb</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 μl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98</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Tris</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99</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WDR5 抗体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 μg/ml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YBX1 Polyclonal antibody</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101</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YF?594 Click-iT EdU Imaging Kits（红色荧光）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102</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梳子</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1.0mm 15齿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103</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双荧光素酶报告基因检测试剂盒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104</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苏木素伊红(HE)染色试剂盒</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105</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特级胎牛血清</w:t>
            </w:r>
            <w:r>
              <w:rPr>
                <w:rFonts w:hint="eastAsia" w:ascii="仿宋" w:hAnsi="仿宋" w:cs="仿宋"/>
                <w:i w:val="0"/>
                <w:iCs w:val="0"/>
                <w:color w:val="000000"/>
                <w:kern w:val="0"/>
                <w:sz w:val="24"/>
                <w:szCs w:val="24"/>
                <w:u w:val="none"/>
                <w:lang w:val="en-US" w:eastAsia="zh-CN" w:bidi="ar"/>
              </w:rPr>
              <w:t>（核心产品）</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106</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无血清非程序冻存液</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107</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无血清细胞冻存液</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108</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无血清细胞冻存液</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109</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细胞衰老b-半乳糖苷酶染色试剂盒</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110</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一次性水系滤器(MCE膜 13mm 0.22u)</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111</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一次性细胞培养板12孔板</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块</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1块/袋，200块/箱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112</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一次性细胞培养板6孔板</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块</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1块/袋，200块/箱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113</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一氧化氮检测试剂盒 </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114</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胰蛋白酶1:250</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115</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粘附载玻片</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50片/盒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116</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真菌基因组 DNA 快速抽提试剂盒</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 PREPS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117</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重组Anti-hnRNP A1 (citrulline R88 + R92)抗</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118</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重组Anti-IKK alpha抗体</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119</w:t>
            </w:r>
          </w:p>
        </w:tc>
        <w:tc>
          <w:tcPr>
            <w:tcW w:w="2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重组人源化OKT3 anti-CD3 mAb</w:t>
            </w:r>
          </w:p>
        </w:tc>
        <w:tc>
          <w:tcPr>
            <w:tcW w:w="3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52" w:type="pct"/>
            <w:tcBorders>
              <w:top w:val="single" w:color="000000" w:sz="4" w:space="0"/>
              <w:left w:val="single" w:color="000000" w:sz="4" w:space="0"/>
              <w:bottom w:val="single" w:color="000000" w:sz="8"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w:t>
            </w:r>
          </w:p>
        </w:tc>
        <w:tc>
          <w:tcPr>
            <w:tcW w:w="2498" w:type="pct"/>
            <w:tcBorders>
              <w:top w:val="single" w:color="000000" w:sz="4" w:space="0"/>
              <w:left w:val="single" w:color="000000" w:sz="4" w:space="0"/>
              <w:bottom w:val="single" w:color="000000" w:sz="8"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组织包埋盒</w:t>
            </w:r>
          </w:p>
        </w:tc>
        <w:tc>
          <w:tcPr>
            <w:tcW w:w="368" w:type="pct"/>
            <w:tcBorders>
              <w:top w:val="single" w:color="000000" w:sz="4" w:space="0"/>
              <w:left w:val="single" w:color="000000" w:sz="4" w:space="0"/>
              <w:bottom w:val="single" w:color="000000" w:sz="8"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64" w:type="pct"/>
            <w:tcBorders>
              <w:top w:val="single" w:color="000000" w:sz="4" w:space="0"/>
              <w:left w:val="single" w:color="000000" w:sz="4" w:space="0"/>
              <w:bottom w:val="single" w:color="000000" w:sz="8"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416" w:type="pct"/>
            <w:tcBorders>
              <w:top w:val="single" w:color="000000" w:sz="4" w:space="0"/>
              <w:left w:val="single" w:color="000000" w:sz="4" w:space="0"/>
              <w:bottom w:val="single" w:color="000000" w:sz="8"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250个/盒</w:t>
            </w:r>
          </w:p>
        </w:tc>
      </w:tr>
    </w:tbl>
    <w:p>
      <w:pPr>
        <w:pStyle w:val="2"/>
      </w:pPr>
    </w:p>
    <w:p>
      <w:pPr>
        <w:spacing w:line="360" w:lineRule="auto"/>
        <w:ind w:left="0" w:leftChars="0" w:firstLine="0" w:firstLineChars="0"/>
        <w:jc w:val="left"/>
        <w:rPr>
          <w:rFonts w:hint="eastAsia" w:ascii="Calibri" w:hAnsi="Calibri" w:eastAsia="仿宋" w:cs="Times New Roman"/>
          <w:b/>
          <w:bCs/>
          <w:sz w:val="24"/>
          <w:szCs w:val="20"/>
        </w:rPr>
      </w:pPr>
      <w:r>
        <w:rPr>
          <w:rFonts w:hint="eastAsia" w:ascii="Calibri" w:hAnsi="Calibri" w:eastAsia="仿宋" w:cs="Times New Roman"/>
          <w:b/>
          <w:bCs/>
          <w:sz w:val="24"/>
          <w:szCs w:val="20"/>
        </w:rPr>
        <w:t>B包  预算：</w:t>
      </w:r>
      <w:r>
        <w:rPr>
          <w:rFonts w:hint="eastAsia" w:cs="Times New Roman"/>
          <w:b/>
          <w:bCs/>
          <w:sz w:val="24"/>
          <w:szCs w:val="20"/>
          <w:lang w:val="en-US" w:eastAsia="zh-CN"/>
        </w:rPr>
        <w:t xml:space="preserve"> 80 </w:t>
      </w:r>
      <w:r>
        <w:rPr>
          <w:rFonts w:hint="eastAsia" w:ascii="Calibri" w:hAnsi="Calibri" w:eastAsia="仿宋" w:cs="Times New Roman"/>
          <w:b/>
          <w:bCs/>
          <w:sz w:val="24"/>
          <w:szCs w:val="20"/>
        </w:rPr>
        <w:t>万元</w:t>
      </w:r>
    </w:p>
    <w:tbl>
      <w:tblPr>
        <w:tblStyle w:val="23"/>
        <w:tblW w:w="46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01"/>
        <w:gridCol w:w="1746"/>
        <w:gridCol w:w="1050"/>
        <w:gridCol w:w="995"/>
        <w:gridCol w:w="4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序号</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设备名称</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单位</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数量</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15ml离心管</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500个/箱，无DNA/RNA酶；医用级聚丙烯；无热原；灭菌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50ml离心管</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500个/箱，无DNA/RNA酶；医用级聚丙烯；无热原；灭菌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12孔细胞培养板</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50包/箱，伽马射线灭菌，无热源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6孔细胞培养板</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50包/箱，伽马射线灭菌，无热源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96孔细胞培养板</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100包/箱，伽马射线灭菌，无热源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0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sybgreen（kdd）</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25ml/盒；为2X浓度的反应预混液，包含除了引物和模板外的所有qPCR所需成分；通用型qPCR试剂，设计的特殊参比染料，具有更灵敏的分辨率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6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反转录试剂盒（kdd）</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100次/盒；本产品是高效、稳定、快速用于第一链cDNA合成的试剂盒，只需加入RNA模板和无酶水即可迅速进行反应，操作简单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8联排（kdd）</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规格：0.1ml/孔，125套/盒，8孔/条，白色，采用超薄均匀优质PP材质，可高压灭菌（121℃，20min)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封板模（kdd）</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100片/盒，尺寸:14.1*7.8cm；温度使用范围：-70℃-100℃,压敏膜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pcr 96孔板（kdd）</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0.1ml/孔，96孔/板，100块/箱，白色；无DNA酶、RNA酶、PCR抑制物和内毒素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10ul盒装吸头</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96支/盒,50盒/箱,无RNA,DNA酶,无热源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1250ul盒装吸头</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96支/盒,50盒/箱,无RNA,DNA酶,无热源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200ul黄吸头</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20包/箱，无RNA,DNA酶,无热源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10ul白枪头</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20包/箱，无RNA,DNA酶,无热源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300ul细嘴透明吸头</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20包/箱，无RNA,DNA酶,无热源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1250ul蓝色吸头</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10包/箱 ，无RNA,DNA酶,无热源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0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35mm培养皿</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25包/箱，用光学透明级纯聚苯乙烯制造，经处理后达细胞吸附状态，γ射线灭菌，无热源认证，所有皿均有凸出小珠方便操作并持续气体交换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0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60mm细胞培养皿</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25包/箱，用光学透明级纯聚苯乙烯制造，经处理后达细胞吸附状态，γ射线灭菌，无热源认证，所有皿均有凸出小珠方便操作并持续气体交换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0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培养皿100X20MM</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25包/箱，用光学透明级纯聚苯乙烯制造，经处理后达细胞吸附状态，γ射线灭菌，无热源认证，所有皿均有凸出小珠方便操作并持续气体交换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0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透气盖培养瓶 25cm2</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10包/箱，正方透气盖斜口细胞培养瓶，采用光学透明的原生聚苯乙烯制造，经组织培养处理利于细胞贴壁生长，Gamma射线灭菌，无菌无热源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10ml移液管</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4包/箱，每支单独包装，Gamma射线灭菌，无菌无热源。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PBS</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500ml，应用于细胞培养、分子及分子生物学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胰酶</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100mL，含有 2.5% 胰酶和 0.2g/L EDTA.4Na，不含酚红（phenol 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dmem（H)</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1640</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胎牛血清</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500ml，产品应用细胞培养，符合2020版《中国药典》和ISO9001:2015质量体系标准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甘氨酸</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500g，甘氨酸也是用于蛋白质免疫印迹的 Towbinz 转膜缓冲液的一组组分。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N107抗体</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100ul/支，样本种属：小鼠，人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29</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tag抗体</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100ul/支，样本种属：独立物种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aL抗体</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100ul/支，样本种属：独立物种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IL-1βELISA KIT</w:t>
            </w:r>
            <w:r>
              <w:rPr>
                <w:rFonts w:hint="eastAsia" w:ascii="仿宋" w:hAnsi="仿宋" w:cs="仿宋"/>
                <w:i w:val="0"/>
                <w:iCs w:val="0"/>
                <w:color w:val="000000"/>
                <w:kern w:val="0"/>
                <w:sz w:val="24"/>
                <w:szCs w:val="24"/>
                <w:u w:val="none"/>
                <w:lang w:val="en-US" w:eastAsia="zh-CN" w:bidi="ar"/>
              </w:rPr>
              <w:t>（核心产品）</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96次/盒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IFN-γ  ELISA KIT</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96次/盒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33</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IL-6 ELISA KIT</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96次/盒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IL-10 ELISA KIT</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96次/盒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Rno kit</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1kit，用于RNA和mRNA样品进行分析与定量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I5 kit</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1kit，快速简单自动化的试剂盒，手动操作时间短，提供高质量的数据和准确性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Iae kit</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kit，快速简单自动化的试剂盒，大大缩减了实操时间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人平滑肌细胞培养基</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500ML，用于人平滑肌细胞培养的培养基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39</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人内皮细胞培养基</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500ML，用于人内皮细胞培养的培养基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一次性针头滤器0.22μm</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250个/盒，对各种实验室溶液进行除菌或澄清时使用，无菌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41</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一次性针头滤器0.45μm</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250个/盒，对各种实验室溶液进行除菌或澄清时使用，无菌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42</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pvdf膜0.45</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1卷，用于免疫印迹时蛋白从胶到膜的转印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pvdf膜0.22</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1卷，用于免疫印迹时蛋白从胶到膜的转印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胶原酶1</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1g，是一种蛋白酶，非常适合消化脂肪、肾上腺以及肝细胞或组织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45</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胶原酶2</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1g，是一种蛋白酶，，非常适合消化心脏、骨、甲状腺、软骨和肝脏组织。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LPS</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100mg，是革兰氏阴性细菌细胞壁的特征组分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47</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ECL</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100ml,用于免疫印迹检测的ECL化学发光试剂盒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蛋白酶抑制剂</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20片，用于细菌、哺乳动物、酵母及植物细胞的蛋白酶抑制剂混合物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49</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BCA蛋白浓度测定试剂盒(增强型)</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200次，实现了蛋白浓度测定的简单、高稳定性、高灵敏度和高兼容性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4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一步法TUNEL细胞凋亡检测试剂盒(红色荧光)</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50次，一种高灵敏度又快速简便的细胞凋亡检测方法。对于经过固定和洗涤的细胞或组织，只要经过一步染色反应，洗涤后就可以通过荧光显微镜或流式细胞仪检测到呈现红色荧光的凋亡细胞。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51</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曲拉通</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500ml，是常用的非离子表面活性剂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52</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二甲基亚砜 DMSO (细胞培养级)</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50ml，广泛应用在人、动物细胞株及细菌噬菌体λ的低温防护中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53</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fldChar w:fldCharType="begin"/>
            </w:r>
            <w:r>
              <w:rPr>
                <w:rFonts w:hint="eastAsia" w:ascii="仿宋" w:hAnsi="仿宋" w:eastAsia="仿宋" w:cs="仿宋"/>
                <w:i w:val="0"/>
                <w:iCs w:val="0"/>
                <w:color w:val="auto"/>
                <w:kern w:val="0"/>
                <w:sz w:val="24"/>
                <w:szCs w:val="24"/>
                <w:u w:val="none"/>
                <w:lang w:val="en-US" w:eastAsia="zh-CN" w:bidi="ar"/>
              </w:rPr>
              <w:instrText xml:space="preserve"> HYPERLINK "https://www.beyotime.com/product/P0015L.htm" </w:instrText>
            </w:r>
            <w:r>
              <w:rPr>
                <w:rFonts w:hint="eastAsia" w:ascii="仿宋" w:hAnsi="仿宋" w:eastAsia="仿宋" w:cs="仿宋"/>
                <w:i w:val="0"/>
                <w:iCs w:val="0"/>
                <w:color w:val="auto"/>
                <w:kern w:val="0"/>
                <w:sz w:val="24"/>
                <w:szCs w:val="24"/>
                <w:u w:val="none"/>
                <w:lang w:val="en-US" w:eastAsia="zh-CN" w:bidi="ar"/>
              </w:rPr>
              <w:fldChar w:fldCharType="separate"/>
            </w:r>
            <w:r>
              <w:rPr>
                <w:rStyle w:val="27"/>
                <w:rFonts w:hint="eastAsia" w:ascii="仿宋" w:hAnsi="仿宋" w:eastAsia="仿宋" w:cs="仿宋"/>
                <w:i w:val="0"/>
                <w:iCs w:val="0"/>
                <w:color w:val="auto"/>
                <w:sz w:val="24"/>
                <w:szCs w:val="24"/>
                <w:u w:val="none"/>
              </w:rPr>
              <w:t>蛋白上样缓冲液(5X)</w:t>
            </w:r>
            <w:r>
              <w:rPr>
                <w:rFonts w:hint="eastAsia" w:ascii="仿宋" w:hAnsi="仿宋" w:eastAsia="仿宋" w:cs="仿宋"/>
                <w:i w:val="0"/>
                <w:iCs w:val="0"/>
                <w:color w:val="auto"/>
                <w:kern w:val="0"/>
                <w:sz w:val="24"/>
                <w:szCs w:val="24"/>
                <w:u w:val="none"/>
                <w:lang w:val="en-US" w:eastAsia="zh-CN" w:bidi="ar"/>
              </w:rPr>
              <w:fldChar w:fldCharType="end"/>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15ml，是一种经过改良的以溴酚蓝为染料，5倍浓缩的蛋白上样缓冲液。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54</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fldChar w:fldCharType="begin"/>
            </w:r>
            <w:r>
              <w:rPr>
                <w:rFonts w:hint="eastAsia" w:ascii="仿宋" w:hAnsi="仿宋" w:eastAsia="仿宋" w:cs="仿宋"/>
                <w:i w:val="0"/>
                <w:iCs w:val="0"/>
                <w:color w:val="auto"/>
                <w:kern w:val="0"/>
                <w:sz w:val="24"/>
                <w:szCs w:val="24"/>
                <w:u w:val="none"/>
                <w:lang w:val="en-US" w:eastAsia="zh-CN" w:bidi="ar"/>
              </w:rPr>
              <w:instrText xml:space="preserve"> HYPERLINK "https://www.beyotime.com/product/P0023A-500ml.htm" </w:instrText>
            </w:r>
            <w:r>
              <w:rPr>
                <w:rFonts w:hint="eastAsia" w:ascii="仿宋" w:hAnsi="仿宋" w:eastAsia="仿宋" w:cs="仿宋"/>
                <w:i w:val="0"/>
                <w:iCs w:val="0"/>
                <w:color w:val="auto"/>
                <w:kern w:val="0"/>
                <w:sz w:val="24"/>
                <w:szCs w:val="24"/>
                <w:u w:val="none"/>
                <w:lang w:val="en-US" w:eastAsia="zh-CN" w:bidi="ar"/>
              </w:rPr>
              <w:fldChar w:fldCharType="separate"/>
            </w:r>
            <w:r>
              <w:rPr>
                <w:rStyle w:val="27"/>
                <w:rFonts w:hint="eastAsia" w:ascii="仿宋" w:hAnsi="仿宋" w:eastAsia="仿宋" w:cs="仿宋"/>
                <w:i w:val="0"/>
                <w:iCs w:val="0"/>
                <w:color w:val="auto"/>
                <w:sz w:val="24"/>
                <w:szCs w:val="24"/>
                <w:u w:val="none"/>
              </w:rPr>
              <w:t>一抗稀释液</w:t>
            </w:r>
            <w:r>
              <w:rPr>
                <w:rFonts w:hint="eastAsia" w:ascii="仿宋" w:hAnsi="仿宋" w:eastAsia="仿宋" w:cs="仿宋"/>
                <w:i w:val="0"/>
                <w:iCs w:val="0"/>
                <w:color w:val="auto"/>
                <w:kern w:val="0"/>
                <w:sz w:val="24"/>
                <w:szCs w:val="24"/>
                <w:u w:val="none"/>
                <w:lang w:val="en-US" w:eastAsia="zh-CN" w:bidi="ar"/>
              </w:rPr>
              <w:fldChar w:fldCharType="end"/>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500ml，能有效减少一抗的非特异性结合，能有效提升稀释后一抗的稳定保存时间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w:t>
            </w:r>
          </w:p>
        </w:tc>
        <w:tc>
          <w:tcPr>
            <w:tcW w:w="17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琼脂粉</w:t>
            </w:r>
          </w:p>
        </w:tc>
        <w:tc>
          <w:tcPr>
            <w:tcW w:w="10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9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46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500g，琼脂粉是由琼脂糖和琼脂果胶组成的，</w:t>
            </w:r>
          </w:p>
        </w:tc>
      </w:tr>
    </w:tbl>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pStyle w:val="2"/>
        <w:ind w:left="0" w:leftChars="0" w:firstLine="480"/>
        <w:rPr>
          <w:rFonts w:hint="eastAsia" w:ascii="仿宋" w:hAnsi="仿宋" w:eastAsia="仿宋" w:cs="仿宋"/>
          <w:b w:val="0"/>
          <w:bCs w:val="0"/>
          <w:color w:val="auto"/>
          <w:highlight w:val="none"/>
        </w:rPr>
      </w:pPr>
      <w:r>
        <w:rPr>
          <w:rFonts w:hint="eastAsia" w:ascii="仿宋" w:hAnsi="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、交货期：</w:t>
      </w:r>
      <w:r>
        <w:rPr>
          <w:rFonts w:hint="eastAsia" w:ascii="仿宋" w:hAnsi="仿宋" w:cs="仿宋"/>
          <w:b w:val="0"/>
          <w:bCs w:val="0"/>
          <w:color w:val="auto"/>
          <w:sz w:val="24"/>
          <w:szCs w:val="24"/>
          <w:highlight w:val="none"/>
          <w:lang w:eastAsia="zh-CN"/>
        </w:rPr>
        <w:t>按甲方要求供货（签订合同后</w:t>
      </w:r>
      <w:r>
        <w:rPr>
          <w:rFonts w:hint="eastAsia" w:ascii="仿宋" w:hAnsi="仿宋" w:cs="仿宋"/>
          <w:b w:val="0"/>
          <w:bCs w:val="0"/>
          <w:color w:val="auto"/>
          <w:sz w:val="24"/>
          <w:szCs w:val="24"/>
          <w:highlight w:val="none"/>
          <w:lang w:val="en-US" w:eastAsia="zh-CN"/>
        </w:rPr>
        <w:t>XXX日内</w:t>
      </w:r>
      <w:r>
        <w:rPr>
          <w:rFonts w:hint="eastAsia" w:ascii="仿宋" w:hAnsi="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、交货地点：严格按照国家相关要求的运输方式送到用户指定地点。</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val="en-US" w:eastAsia="zh-CN"/>
        </w:rPr>
        <w:t>、质量保证期：</w:t>
      </w:r>
      <w:r>
        <w:rPr>
          <w:rFonts w:hint="eastAsia" w:ascii="仿宋" w:hAnsi="仿宋" w:cs="仿宋"/>
          <w:b w:val="0"/>
          <w:bCs w:val="0"/>
          <w:color w:val="auto"/>
          <w:sz w:val="24"/>
          <w:szCs w:val="24"/>
          <w:highlight w:val="none"/>
          <w:lang w:val="en-US" w:eastAsia="zh-CN"/>
        </w:rPr>
        <w:t>质保期1年，</w:t>
      </w:r>
      <w:r>
        <w:rPr>
          <w:rFonts w:hint="eastAsia" w:ascii="仿宋" w:hAnsi="仿宋" w:eastAsia="仿宋" w:cs="仿宋"/>
          <w:b w:val="0"/>
          <w:bCs w:val="0"/>
          <w:color w:val="auto"/>
          <w:sz w:val="24"/>
          <w:szCs w:val="24"/>
          <w:highlight w:val="none"/>
          <w:lang w:val="en-US" w:eastAsia="zh-CN"/>
        </w:rPr>
        <w:t>到货后验收发现外箱破损或受潮、污染的，供应商须免费更换此产品。如产品出现问题用户通知卖方后应在24小时内答复，并尽快解决问题。</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val="en-US" w:eastAsia="zh-CN"/>
        </w:rPr>
        <w:t>、供货地点：所有产品的供货、安装地点均由用户指定。</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lang w:val="en-US" w:eastAsia="zh-CN"/>
        </w:rPr>
        <w:t>、报价需逐条报价，不得有空项。</w:t>
      </w:r>
    </w:p>
    <w:p>
      <w:pPr>
        <w:rPr>
          <w:rFonts w:hint="eastAsia"/>
          <w:lang w:val="en-US" w:eastAsia="zh-CN"/>
        </w:rPr>
      </w:pPr>
      <w:r>
        <w:rPr>
          <w:rFonts w:hint="eastAsia"/>
          <w:lang w:val="en-US" w:eastAsia="zh-CN"/>
        </w:rPr>
        <w:t>6、验收</w:t>
      </w:r>
    </w:p>
    <w:p>
      <w:pPr>
        <w:rPr>
          <w:rFonts w:hint="eastAsia" w:ascii="仿宋" w:hAnsi="仿宋" w:eastAsia="仿宋" w:cs="仿宋"/>
          <w:lang w:val="en-US" w:eastAsia="zh-CN"/>
        </w:rPr>
      </w:pPr>
      <w:r>
        <w:rPr>
          <w:rFonts w:hint="eastAsia" w:ascii="仿宋" w:hAnsi="仿宋" w:eastAsia="仿宋" w:cs="仿宋"/>
          <w:lang w:val="en-US" w:eastAsia="zh-CN"/>
        </w:rPr>
        <w:t>1货物运抵现场后，卖方应派工程技术人员到达现场，采购人将对货物数量、质量、规格等进行检验。如发现货物和规格或者两者都与招标文件、投标文件、合同不符，采购人有权限根据检验结果要求中标人立即更换或者提出索赔要求。</w:t>
      </w:r>
    </w:p>
    <w:p>
      <w:pPr>
        <w:rPr>
          <w:rFonts w:hint="eastAsia" w:ascii="仿宋" w:hAnsi="仿宋" w:eastAsia="仿宋" w:cs="仿宋"/>
          <w:lang w:val="en-US" w:eastAsia="zh-CN"/>
        </w:rPr>
      </w:pPr>
      <w:r>
        <w:rPr>
          <w:rFonts w:hint="eastAsia" w:ascii="仿宋" w:hAnsi="仿宋" w:eastAsia="仿宋" w:cs="仿宋"/>
          <w:lang w:val="en-US" w:eastAsia="zh-CN"/>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rPr>
          <w:rFonts w:hint="eastAsia" w:ascii="仿宋" w:hAnsi="仿宋" w:eastAsia="仿宋" w:cs="仿宋"/>
          <w:lang w:val="en-US" w:eastAsia="zh-CN"/>
        </w:rPr>
      </w:pPr>
      <w:r>
        <w:rPr>
          <w:rFonts w:hint="eastAsia" w:ascii="仿宋" w:hAnsi="仿宋" w:eastAsia="仿宋" w:cs="仿宋"/>
          <w:lang w:val="en-US" w:eastAsia="zh-CN"/>
        </w:rPr>
        <w:t>3对安装有特殊要求的设备，中标人应在合同签订后 10 个工作日内以书面形式向采购人提出安装场地环境要求，采购人负责安装场地的准备。</w:t>
      </w:r>
    </w:p>
    <w:p>
      <w:pPr>
        <w:rPr>
          <w:rFonts w:hint="eastAsia"/>
        </w:rPr>
      </w:pPr>
      <w:r>
        <w:rPr>
          <w:rFonts w:hint="eastAsia"/>
          <w:lang w:val="en-US" w:eastAsia="zh-CN"/>
        </w:rPr>
        <w:t>7、</w:t>
      </w:r>
      <w:r>
        <w:rPr>
          <w:rFonts w:hint="eastAsia"/>
        </w:rPr>
        <w:t>货物由中标人进行安装、调试，并承担因此发生的一切费用。完毕后，采购人应对货物（试剂）的数量、质量、规格、性能等进行详细而全面的检验。</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8、</w:t>
      </w:r>
      <w:r>
        <w:rPr>
          <w:rFonts w:hint="eastAsia" w:ascii="仿宋" w:hAnsi="仿宋" w:eastAsia="仿宋" w:cs="仿宋"/>
          <w:color w:val="auto"/>
          <w:sz w:val="24"/>
          <w:highlight w:val="none"/>
        </w:rPr>
        <w:t>付款方式：</w:t>
      </w:r>
    </w:p>
    <w:p>
      <w:pPr>
        <w:pStyle w:val="2"/>
        <w:spacing w:line="360" w:lineRule="auto"/>
        <w:ind w:left="0" w:leftChars="0" w:firstLine="480"/>
        <w:rPr>
          <w:rFonts w:hint="eastAsia" w:ascii="宋体" w:hAnsi="宋体" w:eastAsia="仿宋" w:cs="宋体"/>
          <w:color w:val="auto"/>
          <w:sz w:val="24"/>
          <w:highlight w:val="none"/>
          <w:lang w:eastAsia="zh-CN"/>
        </w:rPr>
      </w:pPr>
      <w:r>
        <w:rPr>
          <w:rFonts w:hint="eastAsia" w:ascii="宋体" w:hAnsi="宋体" w:cs="宋体"/>
          <w:color w:val="auto"/>
          <w:sz w:val="24"/>
          <w:highlight w:val="none"/>
        </w:rPr>
        <w:t>合同签订后3个工作日成交供应商向采购人指定账户缴纳合同金额5%的履约保证金。在合同签订生效且具备实施条件后，成交供应商向项目负责人或指定人申请合同金额70%的预付款，采购人确定后7个工作日内支付。项目验收合格、审计定案（若需要）后7个工作日内，支付剩余合同货款</w:t>
      </w:r>
      <w:r>
        <w:rPr>
          <w:rFonts w:hint="eastAsia" w:ascii="宋体" w:hAnsi="宋体" w:cs="宋体"/>
          <w:color w:val="auto"/>
          <w:sz w:val="24"/>
          <w:highlight w:val="none"/>
          <w:lang w:eastAsia="zh-CN"/>
        </w:rPr>
        <w:t>。</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9</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cs="仿宋"/>
          <w:color w:val="auto"/>
          <w:sz w:val="24"/>
          <w:highlight w:val="none"/>
          <w:lang w:eastAsia="zh-CN"/>
        </w:rPr>
        <w:t>届满</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ind w:firstLine="480" w:firstLineChars="200"/>
        <w:rPr>
          <w:rFonts w:hint="eastAsia" w:ascii="仿宋" w:hAnsi="仿宋" w:eastAsia="仿宋" w:cs="仿宋"/>
          <w:color w:val="auto"/>
          <w:highlight w:val="none"/>
        </w:rPr>
      </w:pPr>
      <w:r>
        <w:rPr>
          <w:rFonts w:hint="eastAsia" w:ascii="仿宋" w:hAnsi="仿宋" w:cs="仿宋"/>
          <w:color w:val="auto"/>
          <w:sz w:val="24"/>
          <w:highlight w:val="none"/>
          <w:lang w:val="en-US" w:eastAsia="zh-CN"/>
        </w:rPr>
        <w:t>10</w:t>
      </w:r>
      <w:r>
        <w:rPr>
          <w:rFonts w:hint="eastAsia" w:ascii="仿宋" w:hAnsi="仿宋" w:eastAsia="仿宋" w:cs="仿宋"/>
          <w:color w:val="auto"/>
          <w:sz w:val="24"/>
          <w:highlight w:val="none"/>
        </w:rPr>
        <w:t>、若有其他优惠请自报。</w:t>
      </w:r>
    </w:p>
    <w:p>
      <w:pPr>
        <w:pStyle w:val="2"/>
        <w:rPr>
          <w:rFonts w:hint="default"/>
          <w:color w:val="auto"/>
          <w:highlight w:val="none"/>
          <w:lang w:val="en-US" w:eastAsia="zh-CN"/>
        </w:rPr>
      </w:pPr>
    </w:p>
    <w:sectPr>
      <w:footerReference r:id="rId11" w:type="default"/>
      <w:pgSz w:w="11906" w:h="16838"/>
      <w:pgMar w:top="1134" w:right="992" w:bottom="1440" w:left="1276" w:header="851" w:footer="992" w:gutter="0"/>
      <w:cols w:space="0" w:num="1"/>
      <w:rtlGutter w:val="0"/>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6"/>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documentProtection w:enforcement="0"/>
  <w:defaultTabStop w:val="420"/>
  <w:drawingGridHorizontalSpacing w:val="120"/>
  <w:drawingGridVerticalSpacing w:val="16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0E16"/>
    <w:rsid w:val="000245AA"/>
    <w:rsid w:val="000267F3"/>
    <w:rsid w:val="00032E74"/>
    <w:rsid w:val="00036B9A"/>
    <w:rsid w:val="00037FCC"/>
    <w:rsid w:val="00046FA1"/>
    <w:rsid w:val="0004785D"/>
    <w:rsid w:val="00063ED9"/>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3279"/>
    <w:rsid w:val="002C5738"/>
    <w:rsid w:val="002D1A57"/>
    <w:rsid w:val="002D3DC7"/>
    <w:rsid w:val="002D402F"/>
    <w:rsid w:val="002D413B"/>
    <w:rsid w:val="002D771D"/>
    <w:rsid w:val="002E5150"/>
    <w:rsid w:val="002E6191"/>
    <w:rsid w:val="002E7C22"/>
    <w:rsid w:val="002F1618"/>
    <w:rsid w:val="002F680F"/>
    <w:rsid w:val="00300B58"/>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47B43"/>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56D6"/>
    <w:rsid w:val="00E96948"/>
    <w:rsid w:val="00E97ED7"/>
    <w:rsid w:val="00EA1CDC"/>
    <w:rsid w:val="00EA421B"/>
    <w:rsid w:val="00EA467B"/>
    <w:rsid w:val="00EA78BF"/>
    <w:rsid w:val="00EC585D"/>
    <w:rsid w:val="00ED0B35"/>
    <w:rsid w:val="00ED6C74"/>
    <w:rsid w:val="00EE327B"/>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1227D26"/>
    <w:rsid w:val="026D1407"/>
    <w:rsid w:val="029F683D"/>
    <w:rsid w:val="03877628"/>
    <w:rsid w:val="043164D2"/>
    <w:rsid w:val="059F550F"/>
    <w:rsid w:val="067F5B8E"/>
    <w:rsid w:val="07114FAA"/>
    <w:rsid w:val="074D3623"/>
    <w:rsid w:val="07C5765D"/>
    <w:rsid w:val="07D53927"/>
    <w:rsid w:val="07E51AAD"/>
    <w:rsid w:val="08012B30"/>
    <w:rsid w:val="08297BEC"/>
    <w:rsid w:val="092334AC"/>
    <w:rsid w:val="0A1814F3"/>
    <w:rsid w:val="0A8B4F6E"/>
    <w:rsid w:val="0D1B387B"/>
    <w:rsid w:val="0E2E22F9"/>
    <w:rsid w:val="119B16ED"/>
    <w:rsid w:val="11BC0275"/>
    <w:rsid w:val="120D76ED"/>
    <w:rsid w:val="12A367ED"/>
    <w:rsid w:val="13967D02"/>
    <w:rsid w:val="13FD0F88"/>
    <w:rsid w:val="159B2240"/>
    <w:rsid w:val="16297009"/>
    <w:rsid w:val="16CF5E02"/>
    <w:rsid w:val="17EF4B51"/>
    <w:rsid w:val="1AFF0597"/>
    <w:rsid w:val="1BA84E74"/>
    <w:rsid w:val="1BC25F36"/>
    <w:rsid w:val="1D2B3667"/>
    <w:rsid w:val="20D57D9D"/>
    <w:rsid w:val="20DA5ACF"/>
    <w:rsid w:val="215E4046"/>
    <w:rsid w:val="224C47AB"/>
    <w:rsid w:val="251E7116"/>
    <w:rsid w:val="260F6A7F"/>
    <w:rsid w:val="28001620"/>
    <w:rsid w:val="29420625"/>
    <w:rsid w:val="2B793244"/>
    <w:rsid w:val="2BD01A9C"/>
    <w:rsid w:val="2CD9399D"/>
    <w:rsid w:val="2CF56DB2"/>
    <w:rsid w:val="2FD45E73"/>
    <w:rsid w:val="300F5AFF"/>
    <w:rsid w:val="31113541"/>
    <w:rsid w:val="31864425"/>
    <w:rsid w:val="31BE1E9F"/>
    <w:rsid w:val="31E7004C"/>
    <w:rsid w:val="323A3217"/>
    <w:rsid w:val="32867865"/>
    <w:rsid w:val="333A23FE"/>
    <w:rsid w:val="33751F41"/>
    <w:rsid w:val="340B152D"/>
    <w:rsid w:val="36845B1A"/>
    <w:rsid w:val="36DF3643"/>
    <w:rsid w:val="373650F3"/>
    <w:rsid w:val="394A5A77"/>
    <w:rsid w:val="3A1A2AA2"/>
    <w:rsid w:val="3A1B2846"/>
    <w:rsid w:val="3A721A85"/>
    <w:rsid w:val="3BD66A3C"/>
    <w:rsid w:val="3C5E2982"/>
    <w:rsid w:val="3CD04444"/>
    <w:rsid w:val="3D1E68EC"/>
    <w:rsid w:val="3D254AE0"/>
    <w:rsid w:val="3D531176"/>
    <w:rsid w:val="3D544685"/>
    <w:rsid w:val="3DEA3115"/>
    <w:rsid w:val="3E594080"/>
    <w:rsid w:val="3E897B14"/>
    <w:rsid w:val="3EF02D4C"/>
    <w:rsid w:val="3F9554E2"/>
    <w:rsid w:val="40325833"/>
    <w:rsid w:val="40C8729B"/>
    <w:rsid w:val="416D3E4A"/>
    <w:rsid w:val="45E0240C"/>
    <w:rsid w:val="469B2D5C"/>
    <w:rsid w:val="47F04AD0"/>
    <w:rsid w:val="482B265C"/>
    <w:rsid w:val="4A0B6D7E"/>
    <w:rsid w:val="4B7C7600"/>
    <w:rsid w:val="4C0B3BF1"/>
    <w:rsid w:val="4D5C433B"/>
    <w:rsid w:val="4DBA3D6E"/>
    <w:rsid w:val="4E21623C"/>
    <w:rsid w:val="4E4F2DA9"/>
    <w:rsid w:val="4F8E4934"/>
    <w:rsid w:val="4FD147FB"/>
    <w:rsid w:val="4FD82044"/>
    <w:rsid w:val="50B86D86"/>
    <w:rsid w:val="515C7009"/>
    <w:rsid w:val="52266585"/>
    <w:rsid w:val="54EA2115"/>
    <w:rsid w:val="54FB0EAB"/>
    <w:rsid w:val="556F5ADF"/>
    <w:rsid w:val="560E036F"/>
    <w:rsid w:val="57537740"/>
    <w:rsid w:val="57C01E34"/>
    <w:rsid w:val="58971D16"/>
    <w:rsid w:val="58AE3D77"/>
    <w:rsid w:val="58F5279F"/>
    <w:rsid w:val="5A6A2241"/>
    <w:rsid w:val="5C7B1CBA"/>
    <w:rsid w:val="5C875E04"/>
    <w:rsid w:val="5E1B7211"/>
    <w:rsid w:val="5E9D190F"/>
    <w:rsid w:val="5FF27A39"/>
    <w:rsid w:val="601D2D07"/>
    <w:rsid w:val="604A05F0"/>
    <w:rsid w:val="61500B28"/>
    <w:rsid w:val="619F5A9B"/>
    <w:rsid w:val="62063D06"/>
    <w:rsid w:val="63035135"/>
    <w:rsid w:val="63696264"/>
    <w:rsid w:val="63B76EED"/>
    <w:rsid w:val="6469054F"/>
    <w:rsid w:val="655F16CC"/>
    <w:rsid w:val="662D11E6"/>
    <w:rsid w:val="68E21136"/>
    <w:rsid w:val="694858F0"/>
    <w:rsid w:val="6A0B7FF4"/>
    <w:rsid w:val="6AE82F9C"/>
    <w:rsid w:val="6B0A211F"/>
    <w:rsid w:val="6B5B6704"/>
    <w:rsid w:val="6BB52CD3"/>
    <w:rsid w:val="6C194883"/>
    <w:rsid w:val="6D0D2A18"/>
    <w:rsid w:val="6D8F712D"/>
    <w:rsid w:val="6E0A0B80"/>
    <w:rsid w:val="6E4969E0"/>
    <w:rsid w:val="6F311862"/>
    <w:rsid w:val="7047792D"/>
    <w:rsid w:val="7479696B"/>
    <w:rsid w:val="792C6CB9"/>
    <w:rsid w:val="79846746"/>
    <w:rsid w:val="79A436FA"/>
    <w:rsid w:val="79B30B21"/>
    <w:rsid w:val="7AAA04A8"/>
    <w:rsid w:val="7D222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5"/>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30"/>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3"/>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7"/>
    <w:semiHidden/>
    <w:unhideWhenUsed/>
    <w:qFormat/>
    <w:uiPriority w:val="99"/>
    <w:pPr>
      <w:spacing w:after="120"/>
    </w:pPr>
    <w:rPr>
      <w:sz w:val="16"/>
      <w:szCs w:val="16"/>
    </w:rPr>
  </w:style>
  <w:style w:type="paragraph" w:styleId="11">
    <w:name w:val="Body Text"/>
    <w:basedOn w:val="1"/>
    <w:next w:val="1"/>
    <w:qFormat/>
    <w:uiPriority w:val="0"/>
    <w:pPr>
      <w:spacing w:after="120"/>
    </w:pPr>
  </w:style>
  <w:style w:type="paragraph" w:styleId="12">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3">
    <w:name w:val="Plain Text"/>
    <w:basedOn w:val="1"/>
    <w:link w:val="38"/>
    <w:qFormat/>
    <w:uiPriority w:val="0"/>
    <w:rPr>
      <w:rFonts w:ascii="宋体" w:hAnsi="Courier New" w:eastAsia="宋体"/>
      <w:sz w:val="21"/>
    </w:rPr>
  </w:style>
  <w:style w:type="paragraph" w:styleId="14">
    <w:name w:val="Body Text Indent 2"/>
    <w:basedOn w:val="1"/>
    <w:qFormat/>
    <w:uiPriority w:val="0"/>
    <w:pPr>
      <w:spacing w:line="500" w:lineRule="exact"/>
      <w:ind w:firstLine="442"/>
    </w:pPr>
  </w:style>
  <w:style w:type="paragraph" w:styleId="15">
    <w:name w:val="Balloon Text"/>
    <w:basedOn w:val="1"/>
    <w:link w:val="42"/>
    <w:semiHidden/>
    <w:unhideWhenUsed/>
    <w:qFormat/>
    <w:uiPriority w:val="99"/>
    <w:pPr>
      <w:spacing w:line="240" w:lineRule="auto"/>
    </w:pPr>
    <w:rPr>
      <w:sz w:val="18"/>
      <w:szCs w:val="18"/>
    </w:rPr>
  </w:style>
  <w:style w:type="paragraph" w:styleId="16">
    <w:name w:val="footer"/>
    <w:basedOn w:val="1"/>
    <w:link w:val="29"/>
    <w:unhideWhenUsed/>
    <w:qFormat/>
    <w:uiPriority w:val="99"/>
    <w:pPr>
      <w:tabs>
        <w:tab w:val="center" w:pos="4153"/>
        <w:tab w:val="right" w:pos="8306"/>
      </w:tabs>
      <w:snapToGrid w:val="0"/>
    </w:pPr>
    <w:rPr>
      <w:sz w:val="18"/>
      <w:szCs w:val="18"/>
    </w:rPr>
  </w:style>
  <w:style w:type="paragraph" w:styleId="17">
    <w:name w:val="envelope return"/>
    <w:basedOn w:val="1"/>
    <w:qFormat/>
    <w:uiPriority w:val="0"/>
    <w:pPr>
      <w:snapToGrid w:val="0"/>
      <w:spacing w:line="360" w:lineRule="auto"/>
    </w:pPr>
    <w:rPr>
      <w:rFonts w:ascii="Arial" w:hAnsi="Arial"/>
      <w:sz w:val="24"/>
    </w:rPr>
  </w:style>
  <w:style w:type="paragraph" w:styleId="18">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rPr>
      <w:rFonts w:ascii="Times New Roman" w:hAnsi="Times New Roman"/>
    </w:rPr>
  </w:style>
  <w:style w:type="paragraph" w:styleId="20">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1">
    <w:name w:val="toc 2"/>
    <w:basedOn w:val="1"/>
    <w:next w:val="1"/>
    <w:unhideWhenUsed/>
    <w:qFormat/>
    <w:uiPriority w:val="39"/>
    <w:pPr>
      <w:ind w:left="200" w:leftChars="200"/>
    </w:pPr>
    <w:rPr>
      <w:rFonts w:ascii="Times New Roman" w:hAnsi="Times New Roman"/>
    </w:rPr>
  </w:style>
  <w:style w:type="paragraph" w:styleId="22">
    <w:name w:val="Normal (Web)"/>
    <w:basedOn w:val="1"/>
    <w:qFormat/>
    <w:uiPriority w:val="0"/>
    <w:pPr>
      <w:widowControl/>
      <w:spacing w:before="100" w:beforeAutospacing="1" w:after="100" w:afterAutospacing="1"/>
    </w:pPr>
    <w:rPr>
      <w:rFonts w:ascii="宋体" w:hAnsi="宋体" w:cs="宋体"/>
      <w:kern w:val="0"/>
      <w:szCs w:val="24"/>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Emphasis"/>
    <w:basedOn w:val="25"/>
    <w:qFormat/>
    <w:uiPriority w:val="20"/>
    <w:rPr>
      <w:i/>
      <w:iCs/>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customStyle="1" w:styleId="28">
    <w:name w:val="页眉 字符"/>
    <w:basedOn w:val="25"/>
    <w:link w:val="18"/>
    <w:qFormat/>
    <w:uiPriority w:val="99"/>
    <w:rPr>
      <w:sz w:val="18"/>
      <w:szCs w:val="18"/>
    </w:rPr>
  </w:style>
  <w:style w:type="character" w:customStyle="1" w:styleId="29">
    <w:name w:val="页脚 字符"/>
    <w:basedOn w:val="25"/>
    <w:link w:val="16"/>
    <w:qFormat/>
    <w:uiPriority w:val="99"/>
    <w:rPr>
      <w:sz w:val="18"/>
      <w:szCs w:val="18"/>
    </w:rPr>
  </w:style>
  <w:style w:type="character" w:customStyle="1" w:styleId="30">
    <w:name w:val="正文文本缩进 字符"/>
    <w:link w:val="3"/>
    <w:qFormat/>
    <w:uiPriority w:val="99"/>
    <w:rPr>
      <w:rFonts w:ascii="Times New Roman" w:hAnsi="Times New Roman"/>
    </w:rPr>
  </w:style>
  <w:style w:type="character" w:customStyle="1" w:styleId="31">
    <w:name w:val="正文文本缩进 Char1"/>
    <w:basedOn w:val="25"/>
    <w:semiHidden/>
    <w:qFormat/>
    <w:uiPriority w:val="99"/>
    <w:rPr>
      <w:rFonts w:ascii="Calibri" w:hAnsi="Calibri" w:eastAsia="仿宋" w:cs="Times New Roman"/>
      <w:sz w:val="24"/>
      <w:szCs w:val="20"/>
    </w:rPr>
  </w:style>
  <w:style w:type="character" w:customStyle="1" w:styleId="32">
    <w:name w:val="标题 4 字符"/>
    <w:basedOn w:val="25"/>
    <w:link w:val="6"/>
    <w:qFormat/>
    <w:uiPriority w:val="9"/>
    <w:rPr>
      <w:rFonts w:asciiTheme="majorHAnsi" w:hAnsiTheme="majorHAnsi" w:eastAsiaTheme="majorEastAsia" w:cstheme="majorBidi"/>
      <w:b/>
      <w:bCs/>
      <w:sz w:val="28"/>
      <w:szCs w:val="28"/>
    </w:rPr>
  </w:style>
  <w:style w:type="paragraph" w:styleId="33">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4">
    <w:name w:val="标题 2 字符"/>
    <w:basedOn w:val="25"/>
    <w:link w:val="5"/>
    <w:qFormat/>
    <w:uiPriority w:val="0"/>
    <w:rPr>
      <w:rFonts w:asciiTheme="majorHAnsi" w:hAnsiTheme="majorHAnsi" w:eastAsiaTheme="majorEastAsia" w:cstheme="majorBidi"/>
      <w:b/>
      <w:bCs/>
      <w:sz w:val="32"/>
      <w:szCs w:val="32"/>
    </w:rPr>
  </w:style>
  <w:style w:type="paragraph" w:customStyle="1" w:styleId="35">
    <w:name w:val="默认段落字体 Para Char Char Char Char Char Char Char Char Char1 Char Char Char Char"/>
    <w:basedOn w:val="1"/>
    <w:qFormat/>
    <w:uiPriority w:val="0"/>
    <w:rPr>
      <w:rFonts w:ascii="Tahoma" w:hAnsi="Tahoma"/>
    </w:rPr>
  </w:style>
  <w:style w:type="character" w:customStyle="1" w:styleId="36">
    <w:name w:val="标题 1 字符"/>
    <w:basedOn w:val="25"/>
    <w:link w:val="4"/>
    <w:qFormat/>
    <w:uiPriority w:val="9"/>
    <w:rPr>
      <w:rFonts w:ascii="Calibri" w:hAnsi="Calibri" w:eastAsia="仿宋" w:cs="Times New Roman"/>
      <w:b/>
      <w:bCs/>
      <w:kern w:val="44"/>
      <w:sz w:val="44"/>
      <w:szCs w:val="44"/>
    </w:rPr>
  </w:style>
  <w:style w:type="character" w:customStyle="1" w:styleId="37">
    <w:name w:val="正文文本 3 字符"/>
    <w:basedOn w:val="25"/>
    <w:link w:val="10"/>
    <w:semiHidden/>
    <w:qFormat/>
    <w:uiPriority w:val="99"/>
    <w:rPr>
      <w:rFonts w:ascii="Calibri" w:hAnsi="Calibri" w:eastAsia="仿宋" w:cs="Times New Roman"/>
      <w:sz w:val="16"/>
      <w:szCs w:val="16"/>
    </w:rPr>
  </w:style>
  <w:style w:type="character" w:customStyle="1" w:styleId="38">
    <w:name w:val="纯文本 字符"/>
    <w:link w:val="13"/>
    <w:qFormat/>
    <w:locked/>
    <w:uiPriority w:val="0"/>
    <w:rPr>
      <w:rFonts w:ascii="宋体" w:hAnsi="Courier New" w:eastAsia="宋体" w:cs="Times New Roman"/>
      <w:szCs w:val="20"/>
    </w:rPr>
  </w:style>
  <w:style w:type="character" w:customStyle="1" w:styleId="39">
    <w:name w:val="纯文本 Char"/>
    <w:basedOn w:val="25"/>
    <w:semiHidden/>
    <w:qFormat/>
    <w:uiPriority w:val="99"/>
    <w:rPr>
      <w:rFonts w:ascii="宋体" w:hAnsi="Courier New" w:eastAsia="宋体" w:cs="Courier New"/>
      <w:szCs w:val="21"/>
    </w:rPr>
  </w:style>
  <w:style w:type="paragraph" w:customStyle="1" w:styleId="40">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1">
    <w:name w:val="正文首行缩进 2 Char"/>
    <w:semiHidden/>
    <w:qFormat/>
    <w:uiPriority w:val="99"/>
    <w:rPr>
      <w:rFonts w:ascii="Times New Roman" w:hAnsi="Times New Roman" w:eastAsia="仿宋"/>
      <w:kern w:val="2"/>
      <w:sz w:val="24"/>
    </w:rPr>
  </w:style>
  <w:style w:type="character" w:customStyle="1" w:styleId="42">
    <w:name w:val="批注框文本 字符"/>
    <w:basedOn w:val="25"/>
    <w:link w:val="15"/>
    <w:semiHidden/>
    <w:qFormat/>
    <w:uiPriority w:val="99"/>
    <w:rPr>
      <w:rFonts w:ascii="Calibri" w:hAnsi="Calibri" w:eastAsia="仿宋"/>
      <w:kern w:val="2"/>
      <w:sz w:val="18"/>
      <w:szCs w:val="18"/>
    </w:rPr>
  </w:style>
  <w:style w:type="character" w:customStyle="1" w:styleId="43">
    <w:name w:val="批注文字 字符"/>
    <w:basedOn w:val="25"/>
    <w:link w:val="9"/>
    <w:qFormat/>
    <w:uiPriority w:val="99"/>
    <w:rPr>
      <w:rFonts w:eastAsiaTheme="minorEastAsia" w:cstheme="minorBidi"/>
      <w:kern w:val="2"/>
      <w:sz w:val="21"/>
      <w:szCs w:val="24"/>
    </w:rPr>
  </w:style>
  <w:style w:type="paragraph" w:customStyle="1" w:styleId="44">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5">
    <w:name w:val="正文文本首行缩进 2 字符"/>
    <w:basedOn w:val="30"/>
    <w:link w:val="2"/>
    <w:semiHidden/>
    <w:qFormat/>
    <w:uiPriority w:val="99"/>
    <w:rPr>
      <w:rFonts w:ascii="Calibri" w:hAnsi="Calibri" w:eastAsia="仿宋"/>
      <w:kern w:val="2"/>
      <w:sz w:val="24"/>
    </w:rPr>
  </w:style>
  <w:style w:type="paragraph" w:customStyle="1" w:styleId="46">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7">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character" w:customStyle="1" w:styleId="48">
    <w:name w:val="font81"/>
    <w:basedOn w:val="25"/>
    <w:qFormat/>
    <w:uiPriority w:val="0"/>
    <w:rPr>
      <w:rFonts w:hint="eastAsia" w:ascii="宋体" w:hAnsi="宋体" w:eastAsia="宋体" w:cs="宋体"/>
      <w:color w:val="000000"/>
      <w:sz w:val="22"/>
      <w:szCs w:val="22"/>
      <w:u w:val="none"/>
    </w:rPr>
  </w:style>
  <w:style w:type="character" w:customStyle="1" w:styleId="49">
    <w:name w:val="font01"/>
    <w:basedOn w:val="25"/>
    <w:qFormat/>
    <w:uiPriority w:val="0"/>
    <w:rPr>
      <w:rFonts w:hint="default" w:ascii="Times New Roman" w:hAnsi="Times New Roman" w:cs="Times New Roman"/>
      <w:color w:val="000000"/>
      <w:sz w:val="22"/>
      <w:szCs w:val="22"/>
      <w:u w:val="none"/>
    </w:rPr>
  </w:style>
  <w:style w:type="character" w:customStyle="1" w:styleId="50">
    <w:name w:val="font31"/>
    <w:basedOn w:val="25"/>
    <w:qFormat/>
    <w:uiPriority w:val="0"/>
    <w:rPr>
      <w:rFonts w:hint="eastAsia" w:ascii="宋体" w:hAnsi="宋体" w:eastAsia="宋体" w:cs="宋体"/>
      <w:color w:val="000000"/>
      <w:sz w:val="22"/>
      <w:szCs w:val="22"/>
      <w:u w:val="none"/>
    </w:rPr>
  </w:style>
  <w:style w:type="character" w:customStyle="1" w:styleId="51">
    <w:name w:val="font12"/>
    <w:basedOn w:val="25"/>
    <w:qFormat/>
    <w:uiPriority w:val="0"/>
    <w:rPr>
      <w:rFonts w:ascii="仿宋" w:hAnsi="仿宋" w:eastAsia="仿宋" w:cs="仿宋"/>
      <w:color w:val="000000"/>
      <w:sz w:val="24"/>
      <w:szCs w:val="24"/>
      <w:u w:val="none"/>
    </w:rPr>
  </w:style>
  <w:style w:type="character" w:customStyle="1" w:styleId="52">
    <w:name w:val="font51"/>
    <w:basedOn w:val="25"/>
    <w:qFormat/>
    <w:uiPriority w:val="0"/>
    <w:rPr>
      <w:rFonts w:hint="default" w:ascii="Times New Roman" w:hAnsi="Times New Roman" w:cs="Times New Roman"/>
      <w:color w:val="000000"/>
      <w:sz w:val="22"/>
      <w:szCs w:val="22"/>
      <w:u w:val="none"/>
    </w:rPr>
  </w:style>
  <w:style w:type="character" w:customStyle="1" w:styleId="53">
    <w:name w:val="font71"/>
    <w:basedOn w:val="25"/>
    <w:qFormat/>
    <w:uiPriority w:val="0"/>
    <w:rPr>
      <w:rFonts w:hint="default" w:ascii="Times New Roman" w:hAnsi="Times New Roman" w:cs="Times New Roman"/>
      <w:color w:val="000000"/>
      <w:sz w:val="22"/>
      <w:szCs w:val="22"/>
      <w:u w:val="none"/>
    </w:rPr>
  </w:style>
  <w:style w:type="character" w:customStyle="1" w:styleId="54">
    <w:name w:val="font91"/>
    <w:basedOn w:val="25"/>
    <w:qFormat/>
    <w:uiPriority w:val="0"/>
    <w:rPr>
      <w:rFonts w:hint="eastAsia" w:ascii="宋体" w:hAnsi="宋体" w:eastAsia="宋体" w:cs="宋体"/>
      <w:color w:val="000000"/>
      <w:sz w:val="22"/>
      <w:szCs w:val="22"/>
      <w:u w:val="none"/>
    </w:rPr>
  </w:style>
  <w:style w:type="character" w:customStyle="1" w:styleId="55">
    <w:name w:val="font111"/>
    <w:basedOn w:val="25"/>
    <w:qFormat/>
    <w:uiPriority w:val="0"/>
    <w:rPr>
      <w:rFonts w:ascii="Wingdings 2" w:hAnsi="Wingdings 2" w:eastAsia="Wingdings 2" w:cs="Wingdings 2"/>
      <w:color w:val="000000"/>
      <w:sz w:val="22"/>
      <w:szCs w:val="22"/>
      <w:u w:val="none"/>
    </w:rPr>
  </w:style>
  <w:style w:type="character" w:customStyle="1" w:styleId="56">
    <w:name w:val="font122"/>
    <w:basedOn w:val="25"/>
    <w:qFormat/>
    <w:uiPriority w:val="0"/>
    <w:rPr>
      <w:rFonts w:hint="default" w:ascii="Wingdings 2" w:hAnsi="Wingdings 2" w:eastAsia="Wingdings 2" w:cs="Wingdings 2"/>
      <w:color w:val="000000"/>
      <w:sz w:val="22"/>
      <w:szCs w:val="22"/>
      <w:u w:val="none"/>
    </w:rPr>
  </w:style>
  <w:style w:type="character" w:customStyle="1" w:styleId="57">
    <w:name w:val="font21"/>
    <w:basedOn w:val="25"/>
    <w:qFormat/>
    <w:uiPriority w:val="0"/>
    <w:rPr>
      <w:rFonts w:hint="default" w:ascii="Times New Roman" w:hAnsi="Times New Roman" w:cs="Times New Roman"/>
      <w:color w:val="000000"/>
      <w:sz w:val="22"/>
      <w:szCs w:val="22"/>
      <w:u w:val="none"/>
    </w:rPr>
  </w:style>
  <w:style w:type="character" w:customStyle="1" w:styleId="58">
    <w:name w:val="font41"/>
    <w:basedOn w:val="25"/>
    <w:qFormat/>
    <w:uiPriority w:val="0"/>
    <w:rPr>
      <w:rFonts w:hint="eastAsia" w:ascii="宋体" w:hAnsi="宋体" w:eastAsia="宋体" w:cs="宋体"/>
      <w:color w:val="000000"/>
      <w:sz w:val="22"/>
      <w:szCs w:val="22"/>
      <w:u w:val="none"/>
    </w:rPr>
  </w:style>
  <w:style w:type="character" w:customStyle="1" w:styleId="59">
    <w:name w:val="font61"/>
    <w:basedOn w:val="25"/>
    <w:qFormat/>
    <w:uiPriority w:val="0"/>
    <w:rPr>
      <w:rFonts w:hint="default" w:ascii="Times New Roman" w:hAnsi="Times New Roman" w:cs="Times New Roman"/>
      <w:color w:val="000000"/>
      <w:sz w:val="22"/>
      <w:szCs w:val="22"/>
      <w:u w:val="none"/>
    </w:rPr>
  </w:style>
  <w:style w:type="paragraph" w:customStyle="1" w:styleId="60">
    <w:name w:val="正文 A"/>
    <w:qFormat/>
    <w:uiPriority w:val="0"/>
    <w:pPr>
      <w:widowControl w:val="0"/>
    </w:pPr>
    <w:rPr>
      <w:rFonts w:ascii="Microsoft JhengHei UI Light" w:hAnsi="Microsoft JhengHei UI Light" w:eastAsia="Microsoft JhengHei UI Light" w:cs="Microsoft JhengHei UI Light"/>
      <w:color w:val="000000"/>
      <w:kern w:val="0"/>
      <w:sz w:val="22"/>
      <w:szCs w:val="22"/>
      <w:u w:color="000000"/>
      <w:lang w:val="en-US" w:eastAsia="zh-CN" w:bidi="ar-SA"/>
    </w:rPr>
  </w:style>
  <w:style w:type="character" w:customStyle="1" w:styleId="61">
    <w:name w:val="font11"/>
    <w:basedOn w:val="25"/>
    <w:qFormat/>
    <w:uiPriority w:val="0"/>
    <w:rPr>
      <w:rFonts w:ascii="微软雅黑" w:hAnsi="微软雅黑" w:eastAsia="微软雅黑" w:cs="微软雅黑"/>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21</Pages>
  <Words>9890</Words>
  <Characters>13217</Characters>
  <Lines>56</Lines>
  <Paragraphs>15</Paragraphs>
  <TotalTime>33</TotalTime>
  <ScaleCrop>false</ScaleCrop>
  <LinksUpToDate>false</LinksUpToDate>
  <CharactersWithSpaces>13538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2023-08-10T05:51:09Z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FF4368CA7C86478DB47B6C25E509771B</vt:lpwstr>
  </property>
</Properties>
</file>